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B02" w:rsidRDefault="0025166A" w:rsidP="0025166A">
      <w:pPr>
        <w:spacing w:after="70" w:line="259" w:lineRule="auto"/>
        <w:ind w:left="2482" w:firstLine="0"/>
        <w:jc w:val="right"/>
      </w:pPr>
      <w:r>
        <w:t>Príloha 9</w:t>
      </w:r>
      <w:bookmarkStart w:id="0" w:name="_GoBack"/>
      <w:bookmarkEnd w:id="0"/>
    </w:p>
    <w:p w:rsidR="00071B02" w:rsidRDefault="0025166A">
      <w:pPr>
        <w:spacing w:after="139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BA73A5" wp14:editId="0DF37801">
            <wp:simplePos x="0" y="0"/>
            <wp:positionH relativeFrom="column">
              <wp:posOffset>1577340</wp:posOffset>
            </wp:positionH>
            <wp:positionV relativeFrom="paragraph">
              <wp:posOffset>8890</wp:posOffset>
            </wp:positionV>
            <wp:extent cx="2752090" cy="1175385"/>
            <wp:effectExtent l="0" t="0" r="0" b="5715"/>
            <wp:wrapNone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60B">
        <w:t xml:space="preserve"> </w:t>
      </w:r>
    </w:p>
    <w:p w:rsidR="00071B02" w:rsidRDefault="008F460B">
      <w:pPr>
        <w:spacing w:after="136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136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136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139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136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375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0" w:line="259" w:lineRule="auto"/>
        <w:ind w:left="317" w:firstLine="0"/>
        <w:jc w:val="left"/>
      </w:pPr>
      <w:r>
        <w:rPr>
          <w:b/>
          <w:color w:val="365F91"/>
          <w:sz w:val="40"/>
        </w:rPr>
        <w:t xml:space="preserve">Národný program rozvoja výchovy a vzdelávania </w:t>
      </w:r>
    </w:p>
    <w:p w:rsidR="00071B02" w:rsidRDefault="008F460B">
      <w:pPr>
        <w:spacing w:after="134" w:line="259" w:lineRule="auto"/>
        <w:ind w:left="-557" w:right="226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90920" cy="9525"/>
                <wp:effectExtent l="0" t="0" r="0" b="0"/>
                <wp:docPr id="72273" name="Group 72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920" cy="9525"/>
                          <a:chOff x="0" y="0"/>
                          <a:chExt cx="6090920" cy="9525"/>
                        </a:xfrm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6090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920">
                                <a:moveTo>
                                  <a:pt x="0" y="0"/>
                                </a:moveTo>
                                <a:lnTo>
                                  <a:pt x="609092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273" style="width:479.6pt;height:0.75pt;mso-position-horizontal-relative:char;mso-position-vertical-relative:line" coordsize="60909,95">
                <v:shape id="Shape 38" style="position:absolute;width:60909;height:0;left:0;top:0;" coordsize="6090920,0" path="m0,0l6090920,0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:rsidR="00071B02" w:rsidRDefault="008F460B">
      <w:pPr>
        <w:spacing w:after="413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230" w:line="259" w:lineRule="auto"/>
        <w:ind w:right="193"/>
        <w:jc w:val="center"/>
      </w:pPr>
      <w:r>
        <w:rPr>
          <w:b/>
          <w:color w:val="4F81BD"/>
          <w:sz w:val="40"/>
        </w:rPr>
        <w:t>K</w:t>
      </w:r>
      <w:r>
        <w:rPr>
          <w:b/>
          <w:color w:val="4F81BD"/>
          <w:sz w:val="32"/>
        </w:rPr>
        <w:t>VALITNÉ A</w:t>
      </w:r>
      <w:r>
        <w:rPr>
          <w:b/>
          <w:color w:val="4F81BD"/>
          <w:sz w:val="40"/>
        </w:rPr>
        <w:t xml:space="preserve"> </w:t>
      </w:r>
      <w:r>
        <w:rPr>
          <w:b/>
          <w:color w:val="4F81BD"/>
          <w:sz w:val="32"/>
        </w:rPr>
        <w:t>DOSTUPNÉ</w:t>
      </w:r>
      <w:r>
        <w:rPr>
          <w:b/>
          <w:color w:val="4F81BD"/>
          <w:sz w:val="40"/>
        </w:rPr>
        <w:t xml:space="preserve"> </w:t>
      </w:r>
    </w:p>
    <w:p w:rsidR="00071B02" w:rsidRDefault="008F460B">
      <w:pPr>
        <w:spacing w:after="12" w:line="259" w:lineRule="auto"/>
        <w:ind w:right="192"/>
        <w:jc w:val="center"/>
      </w:pPr>
      <w:r>
        <w:rPr>
          <w:b/>
          <w:color w:val="4F81BD"/>
          <w:sz w:val="32"/>
        </w:rPr>
        <w:t xml:space="preserve">VZDELANIE PRE </w:t>
      </w:r>
      <w:r>
        <w:rPr>
          <w:b/>
          <w:color w:val="4F81BD"/>
          <w:sz w:val="40"/>
        </w:rPr>
        <w:t>S</w:t>
      </w:r>
      <w:r>
        <w:rPr>
          <w:b/>
          <w:color w:val="4F81BD"/>
          <w:sz w:val="32"/>
        </w:rPr>
        <w:t>LOVENSKO</w:t>
      </w:r>
      <w:r>
        <w:rPr>
          <w:b/>
          <w:color w:val="4F81BD"/>
          <w:sz w:val="40"/>
        </w:rPr>
        <w:t xml:space="preserve"> </w:t>
      </w:r>
    </w:p>
    <w:p w:rsidR="00071B02" w:rsidRDefault="008F460B">
      <w:pPr>
        <w:spacing w:after="137" w:line="259" w:lineRule="auto"/>
        <w:ind w:left="0" w:right="128" w:firstLine="0"/>
        <w:jc w:val="center"/>
      </w:pPr>
      <w:r>
        <w:t xml:space="preserve"> </w:t>
      </w:r>
    </w:p>
    <w:p w:rsidR="00071B02" w:rsidRDefault="008F460B">
      <w:pPr>
        <w:spacing w:after="136" w:line="259" w:lineRule="auto"/>
        <w:ind w:left="0" w:right="128" w:firstLine="0"/>
        <w:jc w:val="center"/>
      </w:pPr>
      <w:r>
        <w:t xml:space="preserve"> </w:t>
      </w:r>
    </w:p>
    <w:p w:rsidR="00071B02" w:rsidRDefault="008F460B">
      <w:pPr>
        <w:spacing w:after="132" w:line="259" w:lineRule="auto"/>
        <w:ind w:left="0" w:right="128" w:firstLine="0"/>
        <w:jc w:val="center"/>
      </w:pPr>
      <w:r>
        <w:t xml:space="preserve"> </w:t>
      </w:r>
    </w:p>
    <w:p w:rsidR="00071B02" w:rsidRDefault="008F460B">
      <w:pPr>
        <w:tabs>
          <w:tab w:val="center" w:pos="4651"/>
          <w:tab w:val="right" w:pos="9261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257425" cy="309562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</w:p>
    <w:p w:rsidR="00071B02" w:rsidRDefault="008F460B">
      <w:pPr>
        <w:spacing w:after="101" w:line="259" w:lineRule="auto"/>
        <w:ind w:left="0" w:firstLine="0"/>
        <w:jc w:val="left"/>
      </w:pPr>
      <w:r>
        <w:rPr>
          <w:rFonts w:ascii="Cambria" w:eastAsia="Cambria" w:hAnsi="Cambria" w:cs="Cambria"/>
          <w:b/>
          <w:sz w:val="28"/>
        </w:rPr>
        <w:t>Obsah</w:t>
      </w:r>
      <w:r>
        <w:t xml:space="preserve"> </w:t>
      </w:r>
    </w:p>
    <w:sdt>
      <w:sdtPr>
        <w:id w:val="-1825804382"/>
        <w:docPartObj>
          <w:docPartGallery w:val="Table of Contents"/>
        </w:docPartObj>
      </w:sdtPr>
      <w:sdtEndPr/>
      <w:sdtContent>
        <w:p w:rsidR="00071B02" w:rsidRDefault="008F460B">
          <w:pPr>
            <w:pStyle w:val="Obsah1"/>
            <w:tabs>
              <w:tab w:val="right" w:leader="dot" w:pos="9261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319">
            <w:r>
              <w:t>1. Úvod</w:t>
            </w:r>
            <w:r>
              <w:tab/>
            </w:r>
            <w:r>
              <w:fldChar w:fldCharType="begin"/>
            </w:r>
            <w:r>
              <w:instrText>PAGEREF _Toc89319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20">
            <w:r>
              <w:t>1. 1. Základné informácie o stratégii</w:t>
            </w:r>
            <w:r>
              <w:tab/>
            </w:r>
            <w:r>
              <w:fldChar w:fldCharType="begin"/>
            </w:r>
            <w:r>
              <w:instrText>PAGEREF _Toc89320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21">
            <w:r>
              <w:t>1. 2. K</w:t>
            </w:r>
            <w:r>
              <w:t>ontext vzniku a existencie stratégie</w:t>
            </w:r>
            <w:r>
              <w:tab/>
            </w:r>
            <w:r>
              <w:fldChar w:fldCharType="begin"/>
            </w:r>
            <w:r>
              <w:instrText>PAGEREF _Toc89321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22">
            <w:r>
              <w:t>1. 3. Účel stratégie</w:t>
            </w:r>
            <w:r>
              <w:tab/>
            </w:r>
            <w:r>
              <w:fldChar w:fldCharType="begin"/>
            </w:r>
            <w:r>
              <w:instrText>PAGEREF _Toc89322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23">
            <w:r>
              <w:t>1. 4. Užívatelia stratégie</w:t>
            </w:r>
            <w:r>
              <w:tab/>
            </w:r>
            <w:r>
              <w:fldChar w:fldCharType="begin"/>
            </w:r>
            <w:r>
              <w:instrText>PAGEREF _Toc89323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24">
            <w:r>
              <w:t>1. 5. Základné používané pojmy</w:t>
            </w:r>
            <w:r>
              <w:tab/>
            </w:r>
            <w:r>
              <w:fldChar w:fldCharType="begin"/>
            </w:r>
            <w:r>
              <w:instrText>PAGEREF _Toc89324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25">
            <w:r>
              <w:t>1.5.1.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Pojmy inklúzia a integrácia</w:t>
            </w:r>
            <w:r>
              <w:tab/>
            </w:r>
            <w:r>
              <w:fldChar w:fldCharType="begin"/>
            </w:r>
            <w:r>
              <w:instrText>PAGEREF _Toc89325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26">
            <w:r>
              <w:t>1.5.2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Zoznam použitých skratiek</w:t>
            </w:r>
            <w:r>
              <w:tab/>
            </w:r>
            <w:r>
              <w:fldChar w:fldCharType="begin"/>
            </w:r>
            <w:r>
              <w:instrText>PAGEREF _Toc89326 \h</w:instrText>
            </w:r>
            <w:r>
              <w:fldChar w:fldCharType="separate"/>
            </w:r>
            <w:r>
              <w:t xml:space="preserve">7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27">
            <w:r>
              <w:t>1. 6. Ostatné relevantné strategické dokumenty</w:t>
            </w:r>
            <w:r>
              <w:tab/>
            </w:r>
            <w:r>
              <w:fldChar w:fldCharType="begin"/>
            </w:r>
            <w:r>
              <w:instrText>PAGEREF _Toc89327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:rsidR="00071B02" w:rsidRDefault="008F460B">
          <w:pPr>
            <w:pStyle w:val="Obsah1"/>
            <w:tabs>
              <w:tab w:val="right" w:leader="dot" w:pos="9261"/>
            </w:tabs>
          </w:pPr>
          <w:hyperlink w:anchor="_Toc89328">
            <w:r>
              <w:t>2. Definícia a analýza riešeného problému</w:t>
            </w:r>
            <w:r>
              <w:tab/>
            </w:r>
            <w:r>
              <w:fldChar w:fldCharType="begin"/>
            </w:r>
            <w:r>
              <w:instrText>PAGEREF _Toc89328 \h</w:instrText>
            </w:r>
            <w:r>
              <w:fldChar w:fldCharType="separate"/>
            </w:r>
            <w:r>
              <w:t xml:space="preserve">14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29">
            <w:r>
              <w:t>2</w:t>
            </w:r>
            <w:r>
              <w:t>. 1. Vymedzenie riešeného problému</w:t>
            </w:r>
            <w:r>
              <w:tab/>
            </w:r>
            <w:r>
              <w:fldChar w:fldCharType="begin"/>
            </w:r>
            <w:r>
              <w:instrText>PAGEREF _Toc89329 \h</w:instrText>
            </w:r>
            <w:r>
              <w:fldChar w:fldCharType="separate"/>
            </w:r>
            <w:r>
              <w:t xml:space="preserve">14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30">
            <w:r>
              <w:t>2.1.1.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Úroveň dosahovania cieľov stratégie Európa 2020 v oblasti vzdelávania</w:t>
            </w:r>
            <w:r>
              <w:tab/>
            </w:r>
            <w:r>
              <w:fldChar w:fldCharType="begin"/>
            </w:r>
            <w:r>
              <w:instrText>PAGEREF _Toc89330 \h</w:instrText>
            </w:r>
            <w:r>
              <w:fldChar w:fldCharType="separate"/>
            </w:r>
            <w:r>
              <w:t xml:space="preserve">14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31">
            <w:r>
              <w:t>2.1.2.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Štruktúra slovenského systému výchovy a vzdelávania</w:t>
            </w:r>
            <w:r>
              <w:tab/>
            </w:r>
            <w:r>
              <w:fldChar w:fldCharType="begin"/>
            </w:r>
            <w:r>
              <w:instrText>PAGEREF _Toc89331 \h</w:instrText>
            </w:r>
            <w:r>
              <w:fldChar w:fldCharType="separate"/>
            </w:r>
            <w:r>
              <w:t xml:space="preserve">16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32">
            <w:r>
              <w:t>2. 2. Prostredie a očakávaný budúci vývoj</w:t>
            </w:r>
            <w:r>
              <w:tab/>
            </w:r>
            <w:r>
              <w:fldChar w:fldCharType="begin"/>
            </w:r>
            <w:r>
              <w:instrText>PAGEREF _Toc89332 \h</w:instrText>
            </w:r>
            <w:r>
              <w:fldChar w:fldCharType="separate"/>
            </w:r>
            <w:r>
              <w:t xml:space="preserve">21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33">
            <w:r>
              <w:t>2.2.1.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Kvalitatívne predpoklady NPRVV</w:t>
            </w:r>
            <w:r>
              <w:tab/>
            </w:r>
            <w:r>
              <w:fldChar w:fldCharType="begin"/>
            </w:r>
            <w:r>
              <w:instrText>PAGEREF _Toc89333 \h</w:instrText>
            </w:r>
            <w:r>
              <w:fldChar w:fldCharType="separate"/>
            </w:r>
            <w:r>
              <w:t xml:space="preserve">22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34">
            <w:r>
              <w:t>2.2.2.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Kvantitatívne predpoklady NPRVV</w:t>
            </w:r>
            <w:r>
              <w:tab/>
            </w:r>
            <w:r>
              <w:fldChar w:fldCharType="begin"/>
            </w:r>
            <w:r>
              <w:instrText>PAGEREF _Toc89334 \h</w:instrText>
            </w:r>
            <w:r>
              <w:fldChar w:fldCharType="separate"/>
            </w:r>
            <w:r>
              <w:t xml:space="preserve">23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35">
            <w:r>
              <w:t>2. 3. Revízia existujúcich opatrení</w:t>
            </w:r>
            <w:r>
              <w:tab/>
            </w:r>
            <w:r>
              <w:fldChar w:fldCharType="begin"/>
            </w:r>
            <w:r>
              <w:instrText>PAGEREF _Toc89335 \h</w:instrText>
            </w:r>
            <w:r>
              <w:fldChar w:fldCharType="separate"/>
            </w:r>
            <w:r>
              <w:t xml:space="preserve">27 </w:t>
            </w:r>
            <w:r>
              <w:fldChar w:fldCharType="end"/>
            </w:r>
          </w:hyperlink>
        </w:p>
        <w:p w:rsidR="00071B02" w:rsidRDefault="008F460B">
          <w:pPr>
            <w:pStyle w:val="Obsah1"/>
            <w:tabs>
              <w:tab w:val="right" w:leader="dot" w:pos="9261"/>
            </w:tabs>
          </w:pPr>
          <w:hyperlink w:anchor="_Toc89336">
            <w:r>
              <w:t>3. Vízi</w:t>
            </w:r>
            <w:r>
              <w:t>a a základné strategické smerovanie</w:t>
            </w:r>
            <w:r>
              <w:tab/>
            </w:r>
            <w:r>
              <w:fldChar w:fldCharType="begin"/>
            </w:r>
            <w:r>
              <w:instrText>PAGEREF _Toc89336 \h</w:instrText>
            </w:r>
            <w:r>
              <w:fldChar w:fldCharType="separate"/>
            </w:r>
            <w:r>
              <w:t xml:space="preserve">28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37">
            <w:r>
              <w:t>3. 1. Logika intervencie, hierarchia cieľov stratégie</w:t>
            </w:r>
            <w:r>
              <w:tab/>
            </w:r>
            <w:r>
              <w:fldChar w:fldCharType="begin"/>
            </w:r>
            <w:r>
              <w:instrText>PAGEREF _Toc89337 \h</w:instrText>
            </w:r>
            <w:r>
              <w:fldChar w:fldCharType="separate"/>
            </w:r>
            <w:r>
              <w:t xml:space="preserve">28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38">
            <w:r>
              <w:t>3. 2. Vízia a globálny cieľ</w:t>
            </w:r>
            <w:r>
              <w:tab/>
            </w:r>
            <w:r>
              <w:fldChar w:fldCharType="begin"/>
            </w:r>
            <w:r>
              <w:instrText>PAGEREF _Toc89338 \h</w:instrText>
            </w:r>
            <w:r>
              <w:fldChar w:fldCharType="separate"/>
            </w:r>
            <w:r>
              <w:t xml:space="preserve">33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39">
            <w:r>
              <w:t>3. 3. Strategické ciele</w:t>
            </w:r>
            <w:r>
              <w:tab/>
            </w:r>
            <w:r>
              <w:fldChar w:fldCharType="begin"/>
            </w:r>
            <w:r>
              <w:instrText>PAGEREF _To</w:instrText>
            </w:r>
            <w:r>
              <w:instrText>c89339 \h</w:instrText>
            </w:r>
            <w:r>
              <w:fldChar w:fldCharType="separate"/>
            </w:r>
            <w:r>
              <w:t xml:space="preserve">33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40">
            <w:r>
              <w:t>3.3.1. Strategické ciele</w:t>
            </w:r>
            <w:r>
              <w:tab/>
            </w:r>
            <w:r>
              <w:fldChar w:fldCharType="begin"/>
            </w:r>
            <w:r>
              <w:instrText>PAGEREF _Toc89340 \h</w:instrText>
            </w:r>
            <w:r>
              <w:fldChar w:fldCharType="separate"/>
            </w:r>
            <w:r>
              <w:t xml:space="preserve">33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41">
            <w:r>
              <w:t>3.3.2. Prierezové priority</w:t>
            </w:r>
            <w:r>
              <w:tab/>
            </w:r>
            <w:r>
              <w:fldChar w:fldCharType="begin"/>
            </w:r>
            <w:r>
              <w:instrText>PAGEREF _Toc89341 \h</w:instrText>
            </w:r>
            <w:r>
              <w:fldChar w:fldCharType="separate"/>
            </w:r>
            <w:r>
              <w:t xml:space="preserve">37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42">
            <w:r>
              <w:t>3.3.3. Priority Agendy 2030</w:t>
            </w:r>
            <w:r>
              <w:tab/>
            </w:r>
            <w:r>
              <w:fldChar w:fldCharType="begin"/>
            </w:r>
            <w:r>
              <w:instrText>PAGEREF _Toc89342 \h</w:instrText>
            </w:r>
            <w:r>
              <w:fldChar w:fldCharType="separate"/>
            </w:r>
            <w:r>
              <w:t xml:space="preserve">44 </w:t>
            </w:r>
            <w:r>
              <w:fldChar w:fldCharType="end"/>
            </w:r>
          </w:hyperlink>
        </w:p>
        <w:p w:rsidR="00071B02" w:rsidRDefault="008F460B">
          <w:pPr>
            <w:pStyle w:val="Obsah1"/>
            <w:tabs>
              <w:tab w:val="right" w:leader="dot" w:pos="9261"/>
            </w:tabs>
          </w:pPr>
          <w:hyperlink w:anchor="_Toc89343">
            <w:r>
              <w:t>4. Opis cieľov v jednotlivých strategických oblastiach</w:t>
            </w:r>
            <w:r>
              <w:tab/>
            </w:r>
            <w:r>
              <w:fldChar w:fldCharType="begin"/>
            </w:r>
            <w:r>
              <w:instrText>PAGEREF _Toc89343 \h</w:instrText>
            </w:r>
            <w:r>
              <w:fldChar w:fldCharType="separate"/>
            </w:r>
            <w:r>
              <w:t xml:space="preserve">46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44">
            <w:r>
              <w:t>4. 1. Názov a popis konkrétneho cieľa, dopa</w:t>
            </w:r>
            <w:r>
              <w:t>dy jeho naplnenia</w:t>
            </w:r>
            <w:r>
              <w:tab/>
            </w:r>
            <w:r>
              <w:fldChar w:fldCharType="begin"/>
            </w:r>
            <w:r>
              <w:instrText>PAGEREF _Toc89344 \h</w:instrText>
            </w:r>
            <w:r>
              <w:fldChar w:fldCharType="separate"/>
            </w:r>
            <w:r>
              <w:t xml:space="preserve">46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45">
            <w:r>
              <w:t>4. 2 Prehľad a opis opatrení</w:t>
            </w:r>
            <w:r>
              <w:tab/>
            </w:r>
            <w:r>
              <w:fldChar w:fldCharType="begin"/>
            </w:r>
            <w:r>
              <w:instrText>PAGEREF _Toc89345 \h</w:instrText>
            </w:r>
            <w:r>
              <w:fldChar w:fldCharType="separate"/>
            </w:r>
            <w:r>
              <w:t xml:space="preserve">46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46">
            <w:r>
              <w:t>4.2.1. Opatrenia v regionálnom školstve</w:t>
            </w:r>
            <w:r>
              <w:tab/>
            </w:r>
            <w:r>
              <w:fldChar w:fldCharType="begin"/>
            </w:r>
            <w:r>
              <w:instrText>PAGEREF _Toc89346 \h</w:instrText>
            </w:r>
            <w:r>
              <w:fldChar w:fldCharType="separate"/>
            </w:r>
            <w:r>
              <w:t xml:space="preserve">46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47">
            <w:r>
              <w:t>4.2.2. Opatrenia vo vysokom školstve</w:t>
            </w:r>
            <w:r>
              <w:tab/>
            </w:r>
            <w:r>
              <w:fldChar w:fldCharType="begin"/>
            </w:r>
            <w:r>
              <w:instrText>PAGEREF _Toc89347 \h</w:instrText>
            </w:r>
            <w:r>
              <w:fldChar w:fldCharType="separate"/>
            </w:r>
            <w:r>
              <w:t xml:space="preserve">49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48">
            <w:r>
              <w:t>4. 3. Výsledky a výstupy realizácie jednotlivých opatrení, indikátory</w:t>
            </w:r>
            <w:r>
              <w:tab/>
            </w:r>
            <w:r>
              <w:fldChar w:fldCharType="begin"/>
            </w:r>
            <w:r>
              <w:instrText>PAGEREF _Toc89348 \h</w:instrText>
            </w:r>
            <w:r>
              <w:fldChar w:fldCharType="separate"/>
            </w:r>
            <w:r>
              <w:t xml:space="preserve">51 </w:t>
            </w:r>
            <w:r>
              <w:fldChar w:fldCharType="end"/>
            </w:r>
          </w:hyperlink>
        </w:p>
        <w:p w:rsidR="00071B02" w:rsidRDefault="008F460B">
          <w:pPr>
            <w:pStyle w:val="Obsah1"/>
            <w:tabs>
              <w:tab w:val="right" w:leader="dot" w:pos="9261"/>
            </w:tabs>
          </w:pPr>
          <w:hyperlink w:anchor="_Toc89349">
            <w:r>
              <w:t>5. Implementácia stratégie</w:t>
            </w:r>
            <w:r>
              <w:tab/>
            </w:r>
            <w:r>
              <w:fldChar w:fldCharType="begin"/>
            </w:r>
            <w:r>
              <w:instrText>PAGEREF _Toc89349 \h</w:instrText>
            </w:r>
            <w:r>
              <w:fldChar w:fldCharType="separate"/>
            </w:r>
            <w:r>
              <w:t xml:space="preserve">52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50">
            <w:r>
              <w:t>5. 1. Implementačná štruktúra a systém riadenia implementácie stratégie</w:t>
            </w:r>
            <w:r>
              <w:tab/>
            </w:r>
            <w:r>
              <w:fldChar w:fldCharType="begin"/>
            </w:r>
            <w:r>
              <w:instrText>PAGEREF _Toc89350 \h</w:instrText>
            </w:r>
            <w:r>
              <w:fldChar w:fldCharType="separate"/>
            </w:r>
            <w:r>
              <w:t xml:space="preserve">52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51">
            <w:r>
              <w:t>5. 2. Plán realizácie aktivít</w:t>
            </w:r>
            <w:r>
              <w:tab/>
            </w:r>
            <w:r>
              <w:fldChar w:fldCharType="begin"/>
            </w:r>
            <w:r>
              <w:instrText>PAGEREF _Toc89351 \h</w:instrText>
            </w:r>
            <w:r>
              <w:fldChar w:fldCharType="separate"/>
            </w:r>
            <w:r>
              <w:t xml:space="preserve">52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52">
            <w:r>
              <w:t>5. 3. Časový harmonogram</w:t>
            </w:r>
            <w:r>
              <w:tab/>
            </w:r>
            <w:r>
              <w:fldChar w:fldCharType="begin"/>
            </w:r>
            <w:r>
              <w:instrText>PAGEREF _Toc89352 \h</w:instrText>
            </w:r>
            <w:r>
              <w:fldChar w:fldCharType="separate"/>
            </w:r>
            <w:r>
              <w:t xml:space="preserve">52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53">
            <w:r>
              <w:t>5. 4. Rozpočet a zdroje financovania</w:t>
            </w:r>
            <w:r>
              <w:tab/>
            </w:r>
            <w:r>
              <w:fldChar w:fldCharType="begin"/>
            </w:r>
            <w:r>
              <w:instrText>PAGEREF _Toc89353 \h</w:instrText>
            </w:r>
            <w:r>
              <w:fldChar w:fldCharType="separate"/>
            </w:r>
            <w:r>
              <w:t xml:space="preserve">53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54">
            <w:r>
              <w:t>5. 5. Systém monitorovania a hodnotenia realizácie stratégie</w:t>
            </w:r>
            <w:r>
              <w:tab/>
            </w:r>
            <w:r>
              <w:fldChar w:fldCharType="begin"/>
            </w:r>
            <w:r>
              <w:instrText>PAGEREF _Toc89354 \h</w:instrText>
            </w:r>
            <w:r>
              <w:fldChar w:fldCharType="separate"/>
            </w:r>
            <w:r>
              <w:t xml:space="preserve">54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55">
            <w:r>
              <w:t>5. 6. Systém riadenia rizík a predpoklady realizácie stratégie</w:t>
            </w:r>
            <w:r>
              <w:tab/>
            </w:r>
            <w:r>
              <w:fldChar w:fldCharType="begin"/>
            </w:r>
            <w:r>
              <w:instrText>PAGEREF _Toc89355 \h</w:instrText>
            </w:r>
            <w:r>
              <w:fldChar w:fldCharType="separate"/>
            </w:r>
            <w:r>
              <w:t xml:space="preserve">55 </w:t>
            </w:r>
            <w:r>
              <w:fldChar w:fldCharType="end"/>
            </w:r>
          </w:hyperlink>
        </w:p>
        <w:p w:rsidR="00071B02" w:rsidRDefault="008F460B">
          <w:pPr>
            <w:pStyle w:val="Obsah1"/>
            <w:tabs>
              <w:tab w:val="right" w:leader="dot" w:pos="9261"/>
            </w:tabs>
          </w:pPr>
          <w:hyperlink w:anchor="_Toc89356">
            <w:r>
              <w:t>6. Postup tvorby stratégie</w:t>
            </w:r>
            <w:r>
              <w:tab/>
            </w:r>
            <w:r>
              <w:fldChar w:fldCharType="begin"/>
            </w:r>
            <w:r>
              <w:instrText>PAGEREF _Toc89356 \h</w:instrText>
            </w:r>
            <w:r>
              <w:fldChar w:fldCharType="separate"/>
            </w:r>
            <w:r>
              <w:t xml:space="preserve">56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57">
            <w:r>
              <w:t>6. 1. Autori stratégie a zúčastnené strany</w:t>
            </w:r>
            <w:r>
              <w:tab/>
            </w:r>
            <w:r>
              <w:fldChar w:fldCharType="begin"/>
            </w:r>
            <w:r>
              <w:instrText>PAGEREF _Toc89357 \h</w:instrText>
            </w:r>
            <w:r>
              <w:fldChar w:fldCharType="separate"/>
            </w:r>
            <w:r>
              <w:t xml:space="preserve">56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58">
            <w:r>
              <w:t>6.1.1. Členovia pracovných skupín pre prípravu NPRVV</w:t>
            </w:r>
            <w:r>
              <w:tab/>
            </w:r>
            <w:r>
              <w:fldChar w:fldCharType="begin"/>
            </w:r>
            <w:r>
              <w:instrText>PAGEREF _Toc89358 \h</w:instrText>
            </w:r>
            <w:r>
              <w:fldChar w:fldCharType="separate"/>
            </w:r>
            <w:r>
              <w:t xml:space="preserve">56 </w:t>
            </w:r>
            <w:r>
              <w:fldChar w:fldCharType="end"/>
            </w:r>
          </w:hyperlink>
        </w:p>
        <w:p w:rsidR="00071B02" w:rsidRDefault="008F460B">
          <w:pPr>
            <w:pStyle w:val="Obsah3"/>
            <w:tabs>
              <w:tab w:val="right" w:leader="dot" w:pos="9261"/>
            </w:tabs>
          </w:pPr>
          <w:hyperlink w:anchor="_Toc89359">
            <w:r>
              <w:t>6.1.2. Členovia pracovnej skupiny fínskych expertov pre implementáciu NPRVV</w:t>
            </w:r>
            <w:r>
              <w:tab/>
            </w:r>
            <w:r>
              <w:fldChar w:fldCharType="begin"/>
            </w:r>
            <w:r>
              <w:instrText>PAGEREF</w:instrText>
            </w:r>
            <w:r>
              <w:instrText xml:space="preserve"> _Toc89359 \h</w:instrText>
            </w:r>
            <w:r>
              <w:fldChar w:fldCharType="separate"/>
            </w:r>
            <w:r>
              <w:t xml:space="preserve">57 </w:t>
            </w:r>
            <w:r>
              <w:fldChar w:fldCharType="end"/>
            </w:r>
          </w:hyperlink>
        </w:p>
        <w:p w:rsidR="00071B02" w:rsidRDefault="008F460B">
          <w:pPr>
            <w:pStyle w:val="Obsah2"/>
            <w:tabs>
              <w:tab w:val="right" w:leader="dot" w:pos="9261"/>
            </w:tabs>
          </w:pPr>
          <w:hyperlink w:anchor="_Toc89360">
            <w:r>
              <w:t>6. 2. Opis postupu tvorby stratégie</w:t>
            </w:r>
            <w:r>
              <w:tab/>
            </w:r>
            <w:r>
              <w:fldChar w:fldCharType="begin"/>
            </w:r>
            <w:r>
              <w:instrText>PAGEREF _Toc89360 \h</w:instrText>
            </w:r>
            <w:r>
              <w:fldChar w:fldCharType="separate"/>
            </w:r>
            <w:r>
              <w:t xml:space="preserve">57 </w:t>
            </w:r>
            <w:r>
              <w:fldChar w:fldCharType="end"/>
            </w:r>
          </w:hyperlink>
        </w:p>
        <w:p w:rsidR="00071B02" w:rsidRDefault="008F460B">
          <w:pPr>
            <w:pStyle w:val="Obsah1"/>
            <w:tabs>
              <w:tab w:val="right" w:leader="dot" w:pos="9261"/>
            </w:tabs>
          </w:pPr>
          <w:hyperlink w:anchor="_Toc89361">
            <w:r>
              <w:t>7. Príloha – Implementačný plán NPRVV</w:t>
            </w:r>
            <w:r>
              <w:tab/>
            </w:r>
            <w:r>
              <w:fldChar w:fldCharType="begin"/>
            </w:r>
            <w:r>
              <w:instrText>PAGEREF _Toc89361 \h</w:instrText>
            </w:r>
            <w:r>
              <w:fldChar w:fldCharType="separate"/>
            </w:r>
            <w:r>
              <w:t xml:space="preserve">59 </w:t>
            </w:r>
            <w:r>
              <w:fldChar w:fldCharType="end"/>
            </w:r>
          </w:hyperlink>
        </w:p>
        <w:p w:rsidR="00071B02" w:rsidRDefault="008F460B">
          <w:r>
            <w:fldChar w:fldCharType="end"/>
          </w:r>
        </w:p>
      </w:sdtContent>
    </w:sdt>
    <w:p w:rsidR="00071B02" w:rsidRDefault="008F460B">
      <w:pPr>
        <w:spacing w:after="136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  <w:r>
        <w:br w:type="page"/>
      </w:r>
    </w:p>
    <w:p w:rsidR="00071B02" w:rsidRDefault="008F460B">
      <w:pPr>
        <w:pStyle w:val="Nadpis1"/>
        <w:ind w:left="-5"/>
      </w:pPr>
      <w:bookmarkStart w:id="1" w:name="_Toc89319"/>
      <w:r>
        <w:lastRenderedPageBreak/>
        <w:t>1. Úvod</w:t>
      </w:r>
      <w:r>
        <w:rPr>
          <w:sz w:val="24"/>
        </w:rPr>
        <w:t xml:space="preserve"> </w:t>
      </w:r>
      <w:bookmarkEnd w:id="1"/>
    </w:p>
    <w:p w:rsidR="00071B02" w:rsidRDefault="008F460B">
      <w:pPr>
        <w:pStyle w:val="Nadpis2"/>
        <w:spacing w:after="0"/>
        <w:ind w:left="-5"/>
      </w:pPr>
      <w:bookmarkStart w:id="2" w:name="_Toc89320"/>
      <w:r>
        <w:t xml:space="preserve">1. 1. Základné informácie o stratégii </w:t>
      </w:r>
      <w:bookmarkEnd w:id="2"/>
    </w:p>
    <w:tbl>
      <w:tblPr>
        <w:tblStyle w:val="TableGrid"/>
        <w:tblW w:w="8898" w:type="dxa"/>
        <w:tblInd w:w="-108" w:type="dxa"/>
        <w:tblCellMar>
          <w:top w:w="12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3397"/>
        <w:gridCol w:w="5501"/>
      </w:tblGrid>
      <w:tr w:rsidR="00071B02">
        <w:trPr>
          <w:trHeight w:val="454"/>
        </w:trPr>
        <w:tc>
          <w:tcPr>
            <w:tcW w:w="88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right="67" w:firstLine="0"/>
              <w:jc w:val="center"/>
            </w:pPr>
            <w:r>
              <w:t xml:space="preserve">ZÁKLADNÉ INFORMÁCIE O STRATÉGII </w:t>
            </w:r>
          </w:p>
        </w:tc>
      </w:tr>
      <w:tr w:rsidR="00071B02">
        <w:trPr>
          <w:trHeight w:val="451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Názov stratégie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Národný program rozvoja výchovy a vzdelávania </w:t>
            </w:r>
          </w:p>
        </w:tc>
      </w:tr>
      <w:tr w:rsidR="00071B02">
        <w:trPr>
          <w:trHeight w:val="454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Kategória stratégie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Koncepcia a stratégia rozvoja </w:t>
            </w:r>
          </w:p>
        </w:tc>
      </w:tr>
      <w:tr w:rsidR="00071B02">
        <w:trPr>
          <w:trHeight w:val="451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Zadávateľ stratégie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Vláda Slovenskej republiky </w:t>
            </w:r>
          </w:p>
        </w:tc>
      </w:tr>
      <w:tr w:rsidR="00071B02">
        <w:trPr>
          <w:trHeight w:val="454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Gestor tvorby stratégie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Ministerstvo školstva, vedy, výskumu a športu SR </w:t>
            </w:r>
          </w:p>
        </w:tc>
      </w:tr>
      <w:tr w:rsidR="00071B02">
        <w:trPr>
          <w:trHeight w:val="451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Koordinátor tvorby stratégie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Ministerstvo školstva, vedy, výskumu a športu SR </w:t>
            </w:r>
          </w:p>
        </w:tc>
      </w:tr>
      <w:tr w:rsidR="00071B02">
        <w:trPr>
          <w:trHeight w:val="454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Rok spracovania stratégie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2018 </w:t>
            </w:r>
          </w:p>
        </w:tc>
      </w:tr>
      <w:tr w:rsidR="00071B02">
        <w:trPr>
          <w:trHeight w:val="451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Schvaľovateľ stratégie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Vláda Slovenskej republiky </w:t>
            </w:r>
          </w:p>
        </w:tc>
      </w:tr>
      <w:tr w:rsidR="00071B02">
        <w:trPr>
          <w:trHeight w:val="454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Dátum schválenia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27. 6. 2018 </w:t>
            </w:r>
          </w:p>
        </w:tc>
      </w:tr>
      <w:tr w:rsidR="00071B02">
        <w:trPr>
          <w:trHeight w:val="451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Forma schválenia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Uznesenie vlády Slovenskej republiky </w:t>
            </w:r>
          </w:p>
        </w:tc>
      </w:tr>
      <w:tr w:rsidR="00071B02">
        <w:trPr>
          <w:trHeight w:val="454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Posledná aktualizácia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2018 </w:t>
            </w:r>
          </w:p>
        </w:tc>
      </w:tr>
      <w:tr w:rsidR="00071B02">
        <w:trPr>
          <w:trHeight w:val="1087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Súvisiaca legislatíva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right="29" w:firstLine="0"/>
              <w:jc w:val="left"/>
            </w:pPr>
            <w:r>
              <w:t xml:space="preserve">Zákony v oblasti regionálneho školstva, vysokého školstva, vedy a výskumu, celoživotného vzdelávania a i. </w:t>
            </w:r>
          </w:p>
        </w:tc>
      </w:tr>
      <w:tr w:rsidR="00071B02">
        <w:trPr>
          <w:trHeight w:val="451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Doba realizácie stratégie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2018 – 2027  </w:t>
            </w:r>
          </w:p>
        </w:tc>
      </w:tr>
      <w:tr w:rsidR="00071B02">
        <w:trPr>
          <w:trHeight w:val="454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Zodpovednosť za implementáciu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Ministerstvo školstva, vedy, výskumu a športu SR </w:t>
            </w:r>
          </w:p>
        </w:tc>
      </w:tr>
      <w:tr w:rsidR="00071B02">
        <w:trPr>
          <w:trHeight w:val="451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Rozpočet implementácie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15,6 mld. EUR </w:t>
            </w:r>
          </w:p>
        </w:tc>
      </w:tr>
      <w:tr w:rsidR="00071B02">
        <w:trPr>
          <w:trHeight w:val="454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Kontext vzniku stratégie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Programové vyhlásenie vlády Slovenskej republiky </w:t>
            </w:r>
          </w:p>
        </w:tc>
      </w:tr>
      <w:tr w:rsidR="00071B02">
        <w:trPr>
          <w:trHeight w:val="4777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Stručný opis riešeného problému a obsahu stratégie 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2" w:right="59" w:firstLine="0"/>
            </w:pPr>
            <w:r>
              <w:t>V Programovom vyhlásení vlády Slovenskej republiky vláda konštatovala, že „súčasný stav slovenského školstva, a to tak regionálneho, ako aj vysokého, považuje za veľkú výzvu. Zlepšenie tohto stavu si vyžaduje zásadné vnútorné aj vonkajšie systémové zmeny a</w:t>
            </w:r>
            <w:r>
              <w:t xml:space="preserve"> vláda je odhodlaná ich pripraviť a začať neodkladne uskutočňovať.“ Programové vyhlásenie vlády Slovenskej republiky preto obsahuje záväzok sformulovať Národný program rozvoja výchovy a vzdelávania, „ktorý bude obsahovať aj dlhodobú koncepciu obsahu výchov</w:t>
            </w:r>
            <w:r>
              <w:t xml:space="preserve">y a vzdelávania a bude pokrývať v 10-ročnom výhľade dlhodobé zámery a ciele SR v oblasti výchovy a vzdelávania od predprimárneho vzdelávania, cez primárne, sekundárne, až po vysokoškolské vzdelávanie, ako aj </w:t>
            </w:r>
          </w:p>
        </w:tc>
      </w:tr>
      <w:tr w:rsidR="00071B02">
        <w:trPr>
          <w:trHeight w:val="1407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right="58" w:firstLine="0"/>
            </w:pPr>
            <w:r>
              <w:t xml:space="preserve">ďalšie vzdelávanie s cieľom osobného rozvoja a získania relevantných vedomostí a zručností potrebných pre úspešné uplatnenie absolventov na trhu práce. </w:t>
            </w:r>
          </w:p>
        </w:tc>
      </w:tr>
    </w:tbl>
    <w:p w:rsidR="00071B02" w:rsidRDefault="008F460B">
      <w:pPr>
        <w:pStyle w:val="Nadpis2"/>
        <w:ind w:left="-5"/>
      </w:pPr>
      <w:bookmarkStart w:id="3" w:name="_Toc89321"/>
      <w:r>
        <w:t xml:space="preserve">1. 2. Kontext vzniku a existencie stratégie </w:t>
      </w:r>
      <w:bookmarkEnd w:id="3"/>
    </w:p>
    <w:p w:rsidR="00071B02" w:rsidRDefault="008F460B">
      <w:pPr>
        <w:spacing w:after="84"/>
        <w:ind w:right="189"/>
      </w:pPr>
      <w:r>
        <w:t xml:space="preserve">Ministerstvo školstva, vedy, výskumu a </w:t>
      </w:r>
      <w:r>
        <w:t xml:space="preserve">športu SR (ďalej len „MŠVVŠ SR“ alebo „ministerstvo“) pripravilo na základe Programového vyhlásenia vlády Slovenskej republiky (ďalej len „PVV“) Národný program rozvoja výchovy a vzdelávania (ďalej „NPRVV“). </w:t>
      </w:r>
    </w:p>
    <w:p w:rsidR="00071B02" w:rsidRDefault="008F460B">
      <w:pPr>
        <w:spacing w:after="120" w:line="268" w:lineRule="auto"/>
        <w:ind w:left="-5" w:right="187"/>
      </w:pPr>
      <w:r>
        <w:t xml:space="preserve">V PVV vláda konštatovala, že </w:t>
      </w:r>
      <w:r>
        <w:rPr>
          <w:i/>
        </w:rPr>
        <w:t>„súčasný stav slov</w:t>
      </w:r>
      <w:r>
        <w:rPr>
          <w:i/>
        </w:rPr>
        <w:t>enského školstva, a to tak regionálneho, ako aj vysokého, považuje za veľkú výzvu. Zlepšenie tohto stavu si vyžaduje zásadné vnútorné aj vonkajšie systémové zmeny a vláda je odhodlaná ich pripraviť a začať neodkladne uskutočňovať.“</w:t>
      </w:r>
      <w:r>
        <w:t>. PVV preto obsahuje závä</w:t>
      </w:r>
      <w:r>
        <w:t xml:space="preserve">zok sformulovať Národný program rozvoja výchovy a vzdelávania, </w:t>
      </w:r>
      <w:r>
        <w:rPr>
          <w:i/>
        </w:rPr>
        <w:t>„ktorý bude obsahovať aj dlhodobú koncepciu obsahu výchovy a vzdelávania a bude pokrývať v 10-ročnom výhľade dlhodobé zámery a ciele SR v oblasti výchovy a vzdelávania od predprimárneho vzdeláv</w:t>
      </w:r>
      <w:r>
        <w:rPr>
          <w:i/>
        </w:rPr>
        <w:t>ania, cez primárne, sekundárne, až po vysokoškolské vzdelávanie, ako aj ďalšie vzdelávanie s cieľom osobného rozvoja a získania relevantných vedomostí a zručností potrebných pre úspešné uplatnenie absolventov na trhu práce. Návrh národného programu bude vy</w:t>
      </w:r>
      <w:r>
        <w:rPr>
          <w:i/>
        </w:rPr>
        <w:t>chádzať aj zo Správy o stave školstva, ktorú NR SR prerokovala v roku 2013.“</w:t>
      </w:r>
      <w:r>
        <w:t xml:space="preserve">. </w:t>
      </w:r>
    </w:p>
    <w:p w:rsidR="00071B02" w:rsidRDefault="008F460B">
      <w:pPr>
        <w:spacing w:after="130" w:line="305" w:lineRule="auto"/>
        <w:ind w:left="0" w:firstLine="0"/>
        <w:jc w:val="left"/>
      </w:pPr>
      <w:r>
        <w:t>Národný program rozvoja výchovy a vzdelávania bol pripravený na základe úloh obsiahnutých v PVV, autorského dokumentu „Učiace sa Slovensko“, „Správy o stave školstva na Slovensk</w:t>
      </w:r>
      <w:r>
        <w:t>u“</w:t>
      </w:r>
      <w:r>
        <w:rPr>
          <w:vertAlign w:val="superscript"/>
        </w:rPr>
        <w:footnoteReference w:id="1"/>
      </w:r>
      <w:r>
        <w:t xml:space="preserve">, ktorú NR SR prerokovala v roku 2013 (ďalej „Správa o stave školstva“), ako aj ďalších relevantných dokumentov a materiálov v predmetnej oblasti. </w:t>
      </w:r>
    </w:p>
    <w:p w:rsidR="00071B02" w:rsidRDefault="008F460B">
      <w:pPr>
        <w:spacing w:after="101"/>
        <w:ind w:right="187"/>
      </w:pPr>
      <w:r>
        <w:t>Účelom Správy o stave školstva bolo jednak popísať aktuálny stav, v akom sa nachádzali regionálne a vysok</w:t>
      </w:r>
      <w:r>
        <w:t>é školstvo na Slovensku, jednak navrhnúť súbor odporúčaní na podporu jeho ďalšieho rozvoja. Správa bola koncipovaná v strednodobom výhľade na roky 2013-2020. Správa o stave školstva je analytickým dokumentom, ktorý vyhodnotil vývoj školstva na Slovensku ex</w:t>
      </w:r>
      <w:r>
        <w:t>aktným spôsobom vychádzajúc zo štatistík vypracovaných Ústavom informácií a prognóz školstva, ako aj zo zdrojov a štúdií významných medzinárodných organizácií, napríklad OECD, ktoré pripravujú medzinárodné porovnania. Správa tak poskytla obraz o slovenskom</w:t>
      </w:r>
      <w:r>
        <w:t xml:space="preserve"> systéme školstva v medzinárodnom porovnaní.</w:t>
      </w:r>
      <w:r>
        <w:rPr>
          <w:vertAlign w:val="superscript"/>
        </w:rPr>
        <w:footnoteReference w:id="2"/>
      </w:r>
      <w:r>
        <w:t xml:space="preserve">  </w:t>
      </w:r>
    </w:p>
    <w:p w:rsidR="00071B02" w:rsidRDefault="008F460B">
      <w:pPr>
        <w:spacing w:after="90"/>
        <w:ind w:right="183"/>
      </w:pPr>
      <w:r>
        <w:t>Na základe úlohy obsiahnutej v PVV začalo ministerstvo v roku 2016 pripravovať návrh Národného programu rozvoja výchovy a vzdelávania. Prizvalo k spolupráci skupinu siedmich expertov, ktorí pripravili dokumen</w:t>
      </w:r>
      <w:r>
        <w:t xml:space="preserve">t s názvom „Učiace sa Slovensko“. Z vecnej stránky </w:t>
      </w:r>
      <w:r>
        <w:lastRenderedPageBreak/>
        <w:t>predstavil autorský dokument „Učiace sa Slovensko“ kvalitatívnu víziu vývoja systému výchovy a vzdelávania na desaťročné obdobie, popísanú v jednotlivých kapitolách autormi na základe ich vnímania situácie</w:t>
      </w:r>
      <w:r>
        <w:t xml:space="preserve"> založenom na vlastných expertných náhľadoch. NPRVV je založený na dokumente „Učiace sa Slovensko“. </w:t>
      </w:r>
    </w:p>
    <w:p w:rsidR="00071B02" w:rsidRDefault="008F460B">
      <w:pPr>
        <w:spacing w:after="244"/>
        <w:ind w:right="187"/>
      </w:pPr>
      <w:r>
        <w:t>MŠVVŠ SR vyjadruje vďaku autorom dokumentu „Učiace sa Slovensko“, členom pracovných skupín z oblasti vysokého školstva, regionálneho školstva a vedy a výsk</w:t>
      </w:r>
      <w:r>
        <w:t>umu (sekcia 6.1.1), fínskym expertom členom stálej pracovnej skupiny (sekcia 6.1.2), Odborovému zväzu pracovníkov školstva a vedy na Slovensku, predstaviteľom a členom profesijných a stavovských organizácií v oblasti školstva a vedy, vysokoškolským repreze</w:t>
      </w:r>
      <w:r>
        <w:t>ntáciám, analytikom z útvaru UHP MF SR, ako aj ďalším predstaviteľom organizácií, inštitúcií, či odbornej aj laickej verejnosti, korí sa zapojili do procesu prípravy a pripomienkovania NPRVV. Osobitná vďaka patrí IVP za medzirezortnú koordináciu prípravy I</w:t>
      </w:r>
      <w:r>
        <w:t xml:space="preserve">mplementačného plánu a veľvyslancovi Slovenskej republiky vo Fínsku Tiborovi Králikovi za efektívnu koordináciu fínsko-slovenskej spolupráce v procese prípravy NPRVV. </w:t>
      </w:r>
    </w:p>
    <w:p w:rsidR="00071B02" w:rsidRDefault="008F460B">
      <w:pPr>
        <w:pStyle w:val="Nadpis2"/>
        <w:ind w:left="-5"/>
      </w:pPr>
      <w:bookmarkStart w:id="4" w:name="_Toc89322"/>
      <w:r>
        <w:t xml:space="preserve">1. 3. Účel stratégie </w:t>
      </w:r>
      <w:bookmarkEnd w:id="4"/>
    </w:p>
    <w:p w:rsidR="00071B02" w:rsidRDefault="008F460B">
      <w:pPr>
        <w:spacing w:after="242"/>
        <w:ind w:right="184"/>
      </w:pPr>
      <w:r>
        <w:t>Účelom NPRVV je poskytnúť dlhodobú koncepciu obsahu výchovy a vzde</w:t>
      </w:r>
      <w:r>
        <w:t>lávania pokrývajúcu  v 10-ročnom výhľade dlhodobé zámery a ciele SR v oblasti výchovy a vzdelávania od predprimárneho vzdelávania, cez primárne, sekundárne, až po vysokoškolské vzdelávanie, ako aj ďalšie vzdelávanie s cieľom osobného rozvoja a získania rel</w:t>
      </w:r>
      <w:r>
        <w:t>evantných vedomostí a zručností potrebných pre úspešné uplatnenie absolventov na trhu práce. Strategickými cieľmi stratégie je zvýšenie kvality systému výchovy a vzdelávania, rozšírenie prístupu ku kvalitnému vzdelávaniu pre všetkých a modernizácia systému</w:t>
      </w:r>
      <w:r>
        <w:t xml:space="preserve"> výchovy a vzdelávania po obsahovej stránke, ako aj v oblasti riadenia, financovania a hodnotenia. </w:t>
      </w:r>
    </w:p>
    <w:p w:rsidR="00071B02" w:rsidRDefault="008F460B">
      <w:pPr>
        <w:pStyle w:val="Nadpis2"/>
        <w:ind w:left="-5"/>
      </w:pPr>
      <w:bookmarkStart w:id="5" w:name="_Toc89323"/>
      <w:r>
        <w:t xml:space="preserve">1. 4. Užívatelia stratégie </w:t>
      </w:r>
      <w:bookmarkEnd w:id="5"/>
    </w:p>
    <w:p w:rsidR="00071B02" w:rsidRDefault="008F460B">
      <w:pPr>
        <w:spacing w:after="241"/>
        <w:ind w:right="188"/>
      </w:pPr>
      <w:r>
        <w:t>Užívateľmi stratégie sú najmä školy a školské zariadenia v oblasti regionálneho a vysokého školstva, ich zriaďovatelia, ako aj ú</w:t>
      </w:r>
      <w:r>
        <w:t xml:space="preserve">stredné orgány štátnej správy a ďalšie organizácie a inštitúcie v rezorte školstva, vedy, výskumu a športu. Konečnými beneficiármi stratégie sú učitelia, žiaci a študenti, ako aj ich rodičia a širšia verejnosť. </w:t>
      </w:r>
    </w:p>
    <w:p w:rsidR="00071B02" w:rsidRDefault="008F460B">
      <w:pPr>
        <w:pStyle w:val="Nadpis2"/>
        <w:spacing w:after="240"/>
        <w:ind w:left="-5"/>
      </w:pPr>
      <w:bookmarkStart w:id="6" w:name="_Toc89324"/>
      <w:r>
        <w:t xml:space="preserve">1. 5. Základné používané pojmy </w:t>
      </w:r>
      <w:bookmarkEnd w:id="6"/>
    </w:p>
    <w:p w:rsidR="00071B02" w:rsidRDefault="008F460B">
      <w:pPr>
        <w:pStyle w:val="Nadpis3"/>
        <w:spacing w:after="168"/>
        <w:ind w:left="-5"/>
      </w:pPr>
      <w:bookmarkStart w:id="7" w:name="_Toc89325"/>
      <w:r>
        <w:t>1.5.1. Pojmy</w:t>
      </w:r>
      <w:r>
        <w:t xml:space="preserve"> inklúzia a integrácia </w:t>
      </w:r>
      <w:bookmarkEnd w:id="7"/>
    </w:p>
    <w:p w:rsidR="00071B02" w:rsidRDefault="008F460B">
      <w:pPr>
        <w:spacing w:after="152"/>
        <w:ind w:right="186"/>
      </w:pPr>
      <w:r>
        <w:rPr>
          <w:b/>
        </w:rPr>
        <w:t>Pojem inkluzívneho vzdelávania</w:t>
      </w:r>
      <w:r>
        <w:t xml:space="preserve"> nie je v slovenskej legislatíve definovaný. Odporúčania pracovnej skupiny pre inkluzívne vzdelávanie Rady vlády SR pre ľudské práva, národnostné menšiny a rodovú rovnosť z 14. 6. 2011 v bode 4 uvádzajú</w:t>
      </w:r>
      <w:r>
        <w:t xml:space="preserve">: „Pri definícii pojmu </w:t>
      </w:r>
      <w:r>
        <w:rPr>
          <w:i/>
        </w:rPr>
        <w:t>inkluzívne vzdelávanie</w:t>
      </w:r>
      <w:r>
        <w:t xml:space="preserve"> pracovná skupina vychádza z príslušných dokumentov UNESCO (Policy Guidelines on the Inclusion in Education, 2009), Rady Európy a Európskej agentúry pre rozvoj špeciálneho vzdelávania. Koncept inkluzívneho vzdel</w:t>
      </w:r>
      <w:r>
        <w:t xml:space="preserve">ávania členovia PS považujú za širší a </w:t>
      </w:r>
      <w:r>
        <w:lastRenderedPageBreak/>
        <w:t>obsažnejší ako koncept integrovaného vzdelávania. Kým pri integrácii ide predovšetkým o fyzické začleňovanie detí so znevýhodnením do bežných škôl hlavného vzdelávacieho prúdu, pri inklúzii ide najmä o naplnenie zákla</w:t>
      </w:r>
      <w:r>
        <w:t>dného práva na prístup všetkých ku vzdelávaniu čo najvyššej kvality, ktoré vo svojej obsahovej zložke zahrňuje aj hodnotový aspekt a v prístupe ku skupinám a osobám so špeciálnymi výchovno-vzdelávacími potrebami rešpektuje princípy spravodlivosti (férovost</w:t>
      </w:r>
      <w:r>
        <w:t>i) a rovnosti šancí. Inkluzívne vzdelávanie je možné pochopiť len v komplexnosti a celistvosti, v ktorej sa vzájomne dopĺňajú a prelínajú jednotlivé stupne (od predškolskej starostlivosti po ďalšie vzdelávanie) a kde je v rovnováhe vedomostná, výkonová a h</w:t>
      </w:r>
      <w:r>
        <w:t>odnotová zložka vzdelávacích štandardov. Vo vzťahu k osobám so špeciálnymi potrebami, resp. osobám iným (odlišným od väčšiny na základe ľubovoľných znakov), dôležitejšie ako fyzická integrácia je vzájomné spoznávanie, budovanie rešpektu, uznania a rozvíjan</w:t>
      </w:r>
      <w:r>
        <w:t>ie vzájomných sociálnych kontaktov, vrátane vytvárania inkluzívneho prostredia v celej spoločnosti. Plne inkluzívne vzdelávanie je cieľ v budúcnosti, ku ktorému by mala spoločnosť smerovať postupnou tvorbou ľudských zdrojov, materiálnych podmienok a inštit</w:t>
      </w:r>
      <w:r>
        <w:t>ucionálneho zázemia.“</w:t>
      </w:r>
      <w:r>
        <w:rPr>
          <w:vertAlign w:val="superscript"/>
        </w:rPr>
        <w:footnoteReference w:id="3"/>
      </w:r>
      <w:r>
        <w:t xml:space="preserve">  </w:t>
      </w:r>
    </w:p>
    <w:p w:rsidR="00071B02" w:rsidRDefault="008F460B">
      <w:pPr>
        <w:spacing w:after="210"/>
        <w:ind w:right="187"/>
      </w:pPr>
      <w:r>
        <w:t>V súlade s § 2 písm. s) školského zákona</w:t>
      </w:r>
      <w:r>
        <w:rPr>
          <w:vertAlign w:val="superscript"/>
        </w:rPr>
        <w:footnoteReference w:id="4"/>
      </w:r>
      <w:r>
        <w:t xml:space="preserve"> </w:t>
      </w:r>
      <w:r>
        <w:rPr>
          <w:i/>
        </w:rPr>
        <w:t xml:space="preserve">„školskou integráciou je výchova a vzdelávanie detí alebo žiakov so špeciálnymi výchovno-vzdelávacími potrebami v triedach škôl a </w:t>
      </w:r>
      <w:r>
        <w:rPr>
          <w:i/>
        </w:rPr>
        <w:t>školských zariadení určených pre deti alebo žiakov bez špeciálnych výchovno-vzdelávacích potrieb“</w:t>
      </w:r>
      <w:r>
        <w:t>. Ide o princíp horizontálnej integrácie, pri ktorej si žiaci môžu osvojovať v podstate rovnaké jadrové kurikulum rôznymi metódami. Avšak dôležitou zložkou ink</w:t>
      </w:r>
      <w:r>
        <w:t xml:space="preserve">luzívneho systému je aj vertikálna integrácia, v rámci ktorej je umožnené talentovaným žiakom zúčastňovať sa vzdelávacieho procesu vo vyššom ročníku resp. na vyššom stupni (napríklad s využitím flexibilného systému kreditov).   </w:t>
      </w:r>
    </w:p>
    <w:p w:rsidR="00071B02" w:rsidRDefault="008F460B">
      <w:pPr>
        <w:pStyle w:val="Nadpis3"/>
        <w:spacing w:after="163"/>
        <w:ind w:left="-5"/>
      </w:pPr>
      <w:bookmarkStart w:id="8" w:name="_Toc89326"/>
      <w:r>
        <w:t xml:space="preserve">1.5.2 </w:t>
      </w:r>
      <w:r>
        <w:t xml:space="preserve">Zoznam použitých skratiek </w:t>
      </w:r>
      <w:bookmarkEnd w:id="8"/>
    </w:p>
    <w:p w:rsidR="00071B02" w:rsidRDefault="008F460B">
      <w:r>
        <w:t xml:space="preserve">CEDEFOP Európske stredisko pre rozvoj odborného vzdelávania </w:t>
      </w:r>
    </w:p>
    <w:tbl>
      <w:tblPr>
        <w:tblStyle w:val="TableGrid"/>
        <w:tblW w:w="4021" w:type="dxa"/>
        <w:tblInd w:w="0" w:type="dxa"/>
        <w:tblCellMar>
          <w:top w:w="4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3006"/>
      </w:tblGrid>
      <w:tr w:rsidR="00071B02">
        <w:trPr>
          <w:trHeight w:val="351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CŽV 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Celoživotné vzdelávanie </w:t>
            </w:r>
          </w:p>
        </w:tc>
      </w:tr>
      <w:tr w:rsidR="00071B02">
        <w:trPr>
          <w:trHeight w:val="437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EK 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Európska komisia </w:t>
            </w:r>
          </w:p>
        </w:tc>
      </w:tr>
      <w:tr w:rsidR="00071B02">
        <w:trPr>
          <w:trHeight w:val="438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EKR 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</w:pPr>
            <w:r>
              <w:t xml:space="preserve"> Európsky kvalifikačný rámec </w:t>
            </w:r>
          </w:p>
        </w:tc>
      </w:tr>
      <w:tr w:rsidR="00071B02">
        <w:trPr>
          <w:trHeight w:val="438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IFP 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Inštitút finančnej politiky </w:t>
            </w:r>
          </w:p>
        </w:tc>
      </w:tr>
      <w:tr w:rsidR="00071B02">
        <w:trPr>
          <w:trHeight w:val="351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IVP 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Inštitút vzdelávacej politiky </w:t>
            </w:r>
          </w:p>
        </w:tc>
      </w:tr>
    </w:tbl>
    <w:p w:rsidR="00071B02" w:rsidRDefault="008F460B">
      <w:pPr>
        <w:tabs>
          <w:tab w:val="center" w:pos="3124"/>
        </w:tabs>
        <w:spacing w:after="123"/>
        <w:ind w:left="0" w:firstLine="0"/>
        <w:jc w:val="left"/>
      </w:pPr>
      <w:r>
        <w:t xml:space="preserve">MF SR </w:t>
      </w:r>
      <w:r>
        <w:tab/>
        <w:t xml:space="preserve"> Ministerstvo financií Slovenskej republiky </w:t>
      </w:r>
    </w:p>
    <w:p w:rsidR="00071B02" w:rsidRDefault="008F460B">
      <w:pPr>
        <w:spacing w:after="139"/>
      </w:pPr>
      <w:r>
        <w:t xml:space="preserve">MPSVRSR Ministerstvo práce, sociálnych vecí a rodiny Slovenskej republiky </w:t>
      </w:r>
    </w:p>
    <w:p w:rsidR="00071B02" w:rsidRDefault="008F460B">
      <w:pPr>
        <w:spacing w:after="128"/>
      </w:pPr>
      <w:r>
        <w:t xml:space="preserve">MŠVVŠSR Ministerstvo školstva, vedy, výskumu a športu Slovenskej republiky </w:t>
      </w:r>
    </w:p>
    <w:p w:rsidR="00071B02" w:rsidRDefault="008F460B">
      <w:pPr>
        <w:tabs>
          <w:tab w:val="center" w:pos="2446"/>
        </w:tabs>
        <w:spacing w:after="135"/>
        <w:ind w:left="0" w:firstLine="0"/>
        <w:jc w:val="left"/>
      </w:pPr>
      <w:r>
        <w:lastRenderedPageBreak/>
        <w:t xml:space="preserve">NKR </w:t>
      </w:r>
      <w:r>
        <w:tab/>
        <w:t xml:space="preserve"> Národný kvalifikačný rámec </w:t>
      </w:r>
    </w:p>
    <w:p w:rsidR="00071B02" w:rsidRDefault="008F460B">
      <w:pPr>
        <w:spacing w:after="128"/>
      </w:pPr>
      <w:r>
        <w:t>NPRVV  Národný prog</w:t>
      </w:r>
      <w:r>
        <w:t xml:space="preserve">ram rozvoja výchovy a vzdelávania </w:t>
      </w:r>
    </w:p>
    <w:p w:rsidR="00071B02" w:rsidRDefault="008F460B">
      <w:pPr>
        <w:tabs>
          <w:tab w:val="center" w:pos="2770"/>
        </w:tabs>
        <w:spacing w:after="133"/>
        <w:ind w:left="0" w:firstLine="0"/>
        <w:jc w:val="left"/>
      </w:pPr>
      <w:r>
        <w:t xml:space="preserve">NR SR </w:t>
      </w:r>
      <w:r>
        <w:tab/>
        <w:t xml:space="preserve"> Národná rada Slovenskej republiky </w:t>
      </w:r>
    </w:p>
    <w:p w:rsidR="00071B02" w:rsidRDefault="008F460B">
      <w:pPr>
        <w:tabs>
          <w:tab w:val="center" w:pos="3437"/>
        </w:tabs>
        <w:spacing w:after="136"/>
        <w:ind w:left="0" w:firstLine="0"/>
        <w:jc w:val="left"/>
      </w:pPr>
      <w:r>
        <w:t xml:space="preserve">OECD </w:t>
      </w:r>
      <w:r>
        <w:tab/>
        <w:t xml:space="preserve"> Organizácia pre ekonomickú spoluprácu a rozvoj </w:t>
      </w:r>
    </w:p>
    <w:p w:rsidR="00071B02" w:rsidRDefault="008F460B">
      <w:r>
        <w:t xml:space="preserve">OZ PŠaV  Odborový zväz pracovníkov školstva a vedy </w:t>
      </w:r>
    </w:p>
    <w:tbl>
      <w:tblPr>
        <w:tblStyle w:val="TableGrid"/>
        <w:tblW w:w="704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6032"/>
      </w:tblGrid>
      <w:tr w:rsidR="00071B02">
        <w:trPr>
          <w:trHeight w:val="353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PIAAC 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</w:pPr>
            <w:r>
              <w:t xml:space="preserve"> Program of International Assessment of Adult Competencies </w:t>
            </w:r>
          </w:p>
        </w:tc>
      </w:tr>
      <w:tr w:rsidR="00071B02">
        <w:trPr>
          <w:trHeight w:val="438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PISA 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Program of International Assessment of Students </w:t>
            </w:r>
          </w:p>
        </w:tc>
      </w:tr>
      <w:tr w:rsidR="00071B02">
        <w:trPr>
          <w:trHeight w:val="437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PVV 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Programové vyhlásenie vlády Slovenskej republiky </w:t>
            </w:r>
          </w:p>
        </w:tc>
      </w:tr>
      <w:tr w:rsidR="00071B02">
        <w:trPr>
          <w:trHeight w:val="437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SAV 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Slovenská akadémia vied </w:t>
            </w:r>
          </w:p>
        </w:tc>
      </w:tr>
      <w:tr w:rsidR="00071B02">
        <w:trPr>
          <w:trHeight w:val="438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SŠ 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Stredné školy </w:t>
            </w:r>
          </w:p>
        </w:tc>
      </w:tr>
      <w:tr w:rsidR="00071B02">
        <w:trPr>
          <w:trHeight w:val="438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ŠKD 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Školský klub detí </w:t>
            </w:r>
          </w:p>
        </w:tc>
      </w:tr>
      <w:tr w:rsidR="00071B02">
        <w:trPr>
          <w:trHeight w:val="437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ŠVP 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Štátny vzdelávací program </w:t>
            </w:r>
          </w:p>
        </w:tc>
      </w:tr>
      <w:tr w:rsidR="00071B02">
        <w:trPr>
          <w:trHeight w:val="437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ŠVVP 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Špeciálne výchovno-</w:t>
            </w:r>
            <w:r>
              <w:t xml:space="preserve">vzdelávacie potreby </w:t>
            </w:r>
          </w:p>
        </w:tc>
      </w:tr>
      <w:tr w:rsidR="00071B02">
        <w:trPr>
          <w:trHeight w:val="438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ŠÚ SR 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Štatistický úrad SR </w:t>
            </w:r>
          </w:p>
        </w:tc>
      </w:tr>
      <w:tr w:rsidR="00071B02">
        <w:trPr>
          <w:trHeight w:val="353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UHP 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Útvar hodnoty za peniaze </w:t>
            </w:r>
          </w:p>
        </w:tc>
      </w:tr>
    </w:tbl>
    <w:p w:rsidR="00071B02" w:rsidRDefault="008F460B">
      <w:pPr>
        <w:spacing w:after="129"/>
      </w:pPr>
      <w:r>
        <w:t xml:space="preserve">UNESCO  Organizácia OSN pre vzdelávanie, vedu a kultúru </w:t>
      </w:r>
    </w:p>
    <w:p w:rsidR="00071B02" w:rsidRDefault="008F460B">
      <w:pPr>
        <w:spacing w:after="126"/>
      </w:pPr>
      <w:r>
        <w:t xml:space="preserve">ÚPSVAR  Ústredie práce, sociálnych vecí a rodiny </w:t>
      </w:r>
    </w:p>
    <w:p w:rsidR="00071B02" w:rsidRDefault="008F460B">
      <w:pPr>
        <w:tabs>
          <w:tab w:val="center" w:pos="2066"/>
        </w:tabs>
        <w:spacing w:after="141"/>
        <w:ind w:left="0" w:firstLine="0"/>
        <w:jc w:val="left"/>
      </w:pPr>
      <w:r>
        <w:t xml:space="preserve">USS </w:t>
      </w:r>
      <w:r>
        <w:tab/>
        <w:t xml:space="preserve"> Učiace sa Slovensko </w:t>
      </w:r>
    </w:p>
    <w:p w:rsidR="00071B02" w:rsidRDefault="008F460B">
      <w:pPr>
        <w:tabs>
          <w:tab w:val="center" w:pos="1731"/>
        </w:tabs>
        <w:spacing w:after="139"/>
        <w:ind w:left="0" w:firstLine="0"/>
        <w:jc w:val="left"/>
      </w:pPr>
      <w:r>
        <w:t xml:space="preserve">VŠ </w:t>
      </w:r>
      <w:r>
        <w:tab/>
        <w:t xml:space="preserve"> Vysoké školy </w:t>
      </w:r>
    </w:p>
    <w:p w:rsidR="00071B02" w:rsidRDefault="008F460B">
      <w:pPr>
        <w:tabs>
          <w:tab w:val="center" w:pos="1812"/>
        </w:tabs>
        <w:spacing w:after="257"/>
        <w:ind w:left="0" w:firstLine="0"/>
        <w:jc w:val="left"/>
      </w:pPr>
      <w:r>
        <w:t xml:space="preserve">ZŠ </w:t>
      </w:r>
      <w:r>
        <w:tab/>
        <w:t xml:space="preserve"> </w:t>
      </w:r>
      <w:r>
        <w:t xml:space="preserve">Základné školy </w:t>
      </w:r>
    </w:p>
    <w:p w:rsidR="00071B02" w:rsidRDefault="008F460B">
      <w:pPr>
        <w:pStyle w:val="Nadpis2"/>
        <w:spacing w:after="115"/>
        <w:ind w:left="-5"/>
      </w:pPr>
      <w:bookmarkStart w:id="9" w:name="_Toc89327"/>
      <w:r>
        <w:t xml:space="preserve">1. 6. Ostatné relevantné strategické dokumenty </w:t>
      </w:r>
      <w:bookmarkEnd w:id="9"/>
    </w:p>
    <w:p w:rsidR="00071B02" w:rsidRDefault="008F460B">
      <w:pPr>
        <w:spacing w:after="131"/>
        <w:ind w:right="191"/>
      </w:pPr>
      <w:r>
        <w:t>Národný program rozvoja výchovy a vzdelávania bol pripravený na základe úloh obsiahnutých v PVV, autorského dokumentu „Učiace sa Slovensko“, „Správy o stave školstva“ (ďalej len „</w:t>
      </w:r>
      <w:r>
        <w:t xml:space="preserve">základné dokumenty“), ako aj ďalších relevantných dokumentov a materiálov v predmetnej oblasti. </w:t>
      </w:r>
    </w:p>
    <w:p w:rsidR="00071B02" w:rsidRDefault="008F460B">
      <w:pPr>
        <w:spacing w:after="130"/>
        <w:ind w:right="184"/>
      </w:pPr>
      <w:r>
        <w:t>Tieto základné dokumenty sa zameriavajú na obsahovú náplň systému výchovy a vzdelávania, ale aj na ich procesnú stránku s osobitým dôrazom na procesy riadenia,</w:t>
      </w:r>
      <w:r>
        <w:t xml:space="preserve"> financovania a hodnotenia. Analýza silných a slabých stránok, potenciálu a rizík (SWOT analýza) základných dokumentov a NPRVV je znázornená v Tabuľke 1.1. </w:t>
      </w:r>
    </w:p>
    <w:p w:rsidR="00071B02" w:rsidRDefault="008F460B">
      <w:pPr>
        <w:spacing w:after="130"/>
        <w:ind w:right="189"/>
      </w:pPr>
      <w:r>
        <w:t>S cieľom systematizovať prístupy použité v základných dokumentoch a premietnuť ich efektívnym spôso</w:t>
      </w:r>
      <w:r>
        <w:t xml:space="preserve">bom do intervenčnej logiky NPRVV bola pripravená analýza týchto dokumentov z hľadiska ich systematiky, identifikácie hlavných okruhov, počtu riešených tém a navrhovaných opatrení (Tabuľka 1.2).  </w:t>
      </w:r>
    </w:p>
    <w:p w:rsidR="00071B02" w:rsidRDefault="008F460B">
      <w:pPr>
        <w:ind w:right="188"/>
      </w:pPr>
      <w:r>
        <w:lastRenderedPageBreak/>
        <w:t>Z uvedenej analýzy vyplýva, že jednotlivé základné dokumenty</w:t>
      </w:r>
      <w:r>
        <w:t xml:space="preserve"> obsahujú rôzne počty navrhovaných odporúčaní: 44 v Správe o stave školstva, 91 v PVV a 394 v autorskom dokumente „Učiace sa Slovensko“. Veľmi rôzna je aj miera rozpracovanosti jednotlivých odporúčaní, a to aj v rámci toho istého dokumentu. Z obsahového hľ</w:t>
      </w:r>
      <w:r>
        <w:t xml:space="preserve">adiska sú mnohé odporúčania rovnaké resp. sa prekrývajú, pričom vecne zhodné odporúčania nie sú vždy zaradené v rovnakých okruhoch či témach. </w:t>
      </w:r>
      <w:r>
        <w:rPr>
          <w:b/>
        </w:rPr>
        <w:t>Z uvedeného dôvodu boli pri príprave NPRVV opatrenia základných dokumentov subsumované pod vecne príslušné úrovne,</w:t>
      </w:r>
      <w:r>
        <w:rPr>
          <w:b/>
        </w:rPr>
        <w:t xml:space="preserve"> témy a okruhy.  </w:t>
      </w:r>
    </w:p>
    <w:p w:rsidR="00071B02" w:rsidRDefault="008F460B">
      <w:pPr>
        <w:ind w:right="186"/>
      </w:pPr>
      <w:r>
        <w:t xml:space="preserve">Jednotiacim prvkom medzi základnými dokumentmi je </w:t>
      </w:r>
      <w:r>
        <w:rPr>
          <w:b/>
        </w:rPr>
        <w:t>rozdelenie problematiky do dvoch základných úrovní, a to regionálneho školstva</w:t>
      </w:r>
      <w:r>
        <w:rPr>
          <w:b/>
          <w:vertAlign w:val="superscript"/>
        </w:rPr>
        <w:footnoteReference w:id="5"/>
      </w:r>
      <w:r>
        <w:rPr>
          <w:b/>
        </w:rPr>
        <w:t xml:space="preserve"> a vysokého školstva</w:t>
      </w:r>
      <w:r>
        <w:t>. Hoci obe úrovne majú viaceré jednotiace znaky, v praxi ide o dva pomerne ucelené systém</w:t>
      </w:r>
      <w:r>
        <w:t>y s vlastnou legislatívou a inštitúciami. Preto aj NPRVV rešpektuje delenie systému medzi tieto dve základné rovne. Napriek tomu je veľmi dôležité uvedomiť si potrebu nadväznosti a synergií medzi oboma úrovňami, a tiež možnosť vzájomnej inšpirácie a zdieľa</w:t>
      </w:r>
      <w:r>
        <w:t>nia dobrej praxe v rámci systémov riadenia, financovania a hodnotenia.</w:t>
      </w:r>
      <w:r>
        <w:rPr>
          <w:b/>
        </w:rPr>
        <w:t xml:space="preserve"> </w:t>
      </w:r>
    </w:p>
    <w:p w:rsidR="00071B02" w:rsidRDefault="00071B02">
      <w:pPr>
        <w:sectPr w:rsidR="00071B0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250" w:right="1229" w:bottom="1421" w:left="1416" w:header="708" w:footer="708" w:gutter="0"/>
          <w:cols w:space="708"/>
        </w:sectPr>
      </w:pPr>
    </w:p>
    <w:p w:rsidR="00071B02" w:rsidRDefault="008F460B">
      <w:pPr>
        <w:spacing w:after="97" w:line="267" w:lineRule="auto"/>
        <w:ind w:left="-5"/>
      </w:pPr>
      <w:r>
        <w:rPr>
          <w:b/>
        </w:rPr>
        <w:lastRenderedPageBreak/>
        <w:t>Tabuľka 1.1 SWOT analýza základných dokumentov a NPRVV</w:t>
      </w:r>
    </w:p>
    <w:tbl>
      <w:tblPr>
        <w:tblStyle w:val="TableGrid"/>
        <w:tblW w:w="14284" w:type="dxa"/>
        <w:tblInd w:w="-162" w:type="dxa"/>
        <w:tblCellMar>
          <w:top w:w="98" w:type="dxa"/>
          <w:left w:w="140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3400"/>
        <w:gridCol w:w="3545"/>
        <w:gridCol w:w="4253"/>
        <w:gridCol w:w="3086"/>
      </w:tblGrid>
      <w:tr w:rsidR="00071B02">
        <w:trPr>
          <w:trHeight w:val="777"/>
        </w:trPr>
        <w:tc>
          <w:tcPr>
            <w:tcW w:w="3400" w:type="dxa"/>
            <w:tcBorders>
              <w:top w:val="single" w:sz="12" w:space="0" w:color="000000"/>
              <w:left w:val="single" w:sz="12" w:space="0" w:color="000000"/>
              <w:bottom w:val="single" w:sz="30" w:space="0" w:color="FFFFFF"/>
              <w:right w:val="single" w:sz="12" w:space="0" w:color="000000"/>
            </w:tcBorders>
            <w:shd w:val="clear" w:color="auto" w:fill="EEEEEE"/>
            <w:vAlign w:val="center"/>
          </w:tcPr>
          <w:p w:rsidR="00071B02" w:rsidRDefault="008F460B">
            <w:pPr>
              <w:spacing w:after="0" w:line="259" w:lineRule="auto"/>
              <w:ind w:left="309" w:right="281" w:firstLine="0"/>
              <w:jc w:val="center"/>
            </w:pPr>
            <w:r>
              <w:rPr>
                <w:b/>
              </w:rPr>
              <w:t>Silné stránky</w:t>
            </w:r>
            <w:r>
              <w:t xml:space="preserve"> </w:t>
            </w:r>
            <w:r>
              <w:rPr>
                <w:b/>
              </w:rPr>
              <w:t>(Strengths)</w:t>
            </w:r>
            <w:r>
              <w:t xml:space="preserve"> 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30" w:space="0" w:color="FFFFFF"/>
              <w:right w:val="single" w:sz="12" w:space="0" w:color="000000"/>
            </w:tcBorders>
            <w:shd w:val="clear" w:color="auto" w:fill="EEEEEE"/>
            <w:vAlign w:val="center"/>
          </w:tcPr>
          <w:p w:rsidR="00071B02" w:rsidRDefault="008F460B">
            <w:pPr>
              <w:spacing w:after="0" w:line="259" w:lineRule="auto"/>
              <w:ind w:left="236" w:right="206" w:firstLine="0"/>
              <w:jc w:val="center"/>
            </w:pPr>
            <w:r>
              <w:rPr>
                <w:b/>
              </w:rPr>
              <w:t>Slabé stránky</w:t>
            </w:r>
            <w:r>
              <w:t xml:space="preserve"> </w:t>
            </w:r>
            <w:r>
              <w:rPr>
                <w:b/>
              </w:rPr>
              <w:t>(Weaknesses)</w:t>
            </w:r>
            <w:r>
              <w:t xml:space="preserve"> </w:t>
            </w:r>
          </w:p>
        </w:tc>
        <w:tc>
          <w:tcPr>
            <w:tcW w:w="4253" w:type="dxa"/>
            <w:tcBorders>
              <w:top w:val="single" w:sz="12" w:space="0" w:color="000000"/>
              <w:left w:val="single" w:sz="12" w:space="0" w:color="000000"/>
              <w:bottom w:val="single" w:sz="30" w:space="0" w:color="FFFFFF"/>
              <w:right w:val="single" w:sz="12" w:space="0" w:color="000000"/>
            </w:tcBorders>
            <w:shd w:val="clear" w:color="auto" w:fill="EEEEEE"/>
            <w:vAlign w:val="center"/>
          </w:tcPr>
          <w:p w:rsidR="00071B02" w:rsidRDefault="008F460B">
            <w:pPr>
              <w:spacing w:after="0" w:line="259" w:lineRule="auto"/>
              <w:ind w:left="713" w:right="681" w:firstLine="0"/>
              <w:jc w:val="center"/>
            </w:pPr>
            <w:r>
              <w:rPr>
                <w:b/>
              </w:rPr>
              <w:t>Potenciál</w:t>
            </w:r>
            <w:r>
              <w:t xml:space="preserve"> </w:t>
            </w:r>
            <w:r>
              <w:rPr>
                <w:b/>
              </w:rPr>
              <w:t>(Opportunities)</w:t>
            </w:r>
            <w:r>
              <w:t xml:space="preserve"> </w:t>
            </w:r>
          </w:p>
        </w:tc>
        <w:tc>
          <w:tcPr>
            <w:tcW w:w="3086" w:type="dxa"/>
            <w:tcBorders>
              <w:top w:val="single" w:sz="12" w:space="0" w:color="000000"/>
              <w:left w:val="single" w:sz="12" w:space="0" w:color="000000"/>
              <w:bottom w:val="single" w:sz="30" w:space="0" w:color="FFFFFF"/>
              <w:right w:val="single" w:sz="12" w:space="0" w:color="000000"/>
            </w:tcBorders>
            <w:shd w:val="clear" w:color="auto" w:fill="EEEEEE"/>
            <w:vAlign w:val="center"/>
          </w:tcPr>
          <w:p w:rsidR="00071B02" w:rsidRDefault="008F460B">
            <w:pPr>
              <w:spacing w:after="0" w:line="259" w:lineRule="auto"/>
              <w:ind w:left="591" w:right="557" w:firstLine="0"/>
              <w:jc w:val="center"/>
            </w:pPr>
            <w:r>
              <w:rPr>
                <w:b/>
              </w:rPr>
              <w:t>Riziká</w:t>
            </w:r>
            <w:r>
              <w:t xml:space="preserve"> </w:t>
            </w:r>
            <w:r>
              <w:rPr>
                <w:b/>
              </w:rPr>
              <w:t>(Threats)</w:t>
            </w:r>
            <w:r>
              <w:t xml:space="preserve"> </w:t>
            </w:r>
          </w:p>
        </w:tc>
      </w:tr>
      <w:tr w:rsidR="00071B02">
        <w:trPr>
          <w:trHeight w:val="7545"/>
        </w:trPr>
        <w:tc>
          <w:tcPr>
            <w:tcW w:w="3400" w:type="dxa"/>
            <w:tcBorders>
              <w:top w:val="single" w:sz="30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59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Správa o stave školstva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2"/>
              </w:numPr>
              <w:spacing w:after="71" w:line="259" w:lineRule="auto"/>
              <w:ind w:hanging="720"/>
              <w:jc w:val="left"/>
            </w:pPr>
            <w:r>
              <w:t xml:space="preserve">Analytický dokument </w:t>
            </w:r>
          </w:p>
          <w:p w:rsidR="00071B02" w:rsidRDefault="008F460B">
            <w:pPr>
              <w:numPr>
                <w:ilvl w:val="0"/>
                <w:numId w:val="22"/>
              </w:numPr>
              <w:spacing w:after="73" w:line="259" w:lineRule="auto"/>
              <w:ind w:hanging="720"/>
              <w:jc w:val="left"/>
            </w:pPr>
            <w:r>
              <w:t xml:space="preserve">Kvantitatívna analýza </w:t>
            </w:r>
          </w:p>
          <w:p w:rsidR="00071B02" w:rsidRDefault="008F460B">
            <w:pPr>
              <w:numPr>
                <w:ilvl w:val="0"/>
                <w:numId w:val="22"/>
              </w:numPr>
              <w:spacing w:after="23" w:line="259" w:lineRule="auto"/>
              <w:ind w:hanging="720"/>
              <w:jc w:val="left"/>
            </w:pPr>
            <w:r>
              <w:t xml:space="preserve">Medzinárodné </w:t>
            </w:r>
          </w:p>
          <w:p w:rsidR="00071B02" w:rsidRDefault="008F460B">
            <w:pPr>
              <w:spacing w:after="65" w:line="259" w:lineRule="auto"/>
              <w:ind w:left="0" w:firstLine="0"/>
              <w:jc w:val="left"/>
            </w:pPr>
            <w:r>
              <w:t xml:space="preserve">porovnania </w:t>
            </w:r>
          </w:p>
          <w:p w:rsidR="00071B02" w:rsidRDefault="008F460B">
            <w:pPr>
              <w:numPr>
                <w:ilvl w:val="0"/>
                <w:numId w:val="22"/>
              </w:numPr>
              <w:spacing w:after="69" w:line="259" w:lineRule="auto"/>
              <w:ind w:hanging="720"/>
              <w:jc w:val="left"/>
            </w:pPr>
            <w:r>
              <w:t xml:space="preserve">Vzájomne previazaný </w:t>
            </w:r>
          </w:p>
          <w:p w:rsidR="00071B02" w:rsidRDefault="008F460B">
            <w:pPr>
              <w:spacing w:after="16" w:line="259" w:lineRule="auto"/>
              <w:ind w:left="0" w:firstLine="0"/>
              <w:jc w:val="left"/>
            </w:pPr>
            <w:r>
              <w:t xml:space="preserve">systém odporúčaní </w:t>
            </w:r>
          </w:p>
          <w:p w:rsidR="00071B02" w:rsidRDefault="008F460B">
            <w:pPr>
              <w:spacing w:after="74" w:line="259" w:lineRule="auto"/>
              <w:ind w:left="0" w:firstLine="0"/>
              <w:jc w:val="left"/>
            </w:pPr>
            <w:r>
              <w:t xml:space="preserve"> </w:t>
            </w:r>
          </w:p>
          <w:p w:rsidR="00071B02" w:rsidRDefault="008F460B">
            <w:pPr>
              <w:spacing w:after="59" w:line="259" w:lineRule="auto"/>
              <w:ind w:left="0" w:firstLine="0"/>
              <w:jc w:val="left"/>
            </w:pPr>
            <w:r>
              <w:rPr>
                <w:b/>
              </w:rPr>
              <w:t>Učiace sa Slovensko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2"/>
              </w:numPr>
              <w:spacing w:after="71" w:line="259" w:lineRule="auto"/>
              <w:ind w:hanging="720"/>
              <w:jc w:val="left"/>
            </w:pPr>
            <w:r>
              <w:t xml:space="preserve">Kvalitatívny pohľad </w:t>
            </w:r>
          </w:p>
          <w:p w:rsidR="00071B02" w:rsidRDefault="008F460B">
            <w:pPr>
              <w:numPr>
                <w:ilvl w:val="0"/>
                <w:numId w:val="22"/>
              </w:numPr>
              <w:spacing w:after="23" w:line="259" w:lineRule="auto"/>
              <w:ind w:hanging="720"/>
              <w:jc w:val="left"/>
            </w:pPr>
            <w:r>
              <w:t xml:space="preserve">Jasné vyjadrenie </w:t>
            </w:r>
          </w:p>
          <w:p w:rsidR="00071B02" w:rsidRDefault="008F460B">
            <w:pPr>
              <w:spacing w:after="2" w:line="314" w:lineRule="auto"/>
              <w:ind w:left="0" w:firstLine="0"/>
              <w:jc w:val="left"/>
            </w:pPr>
            <w:r>
              <w:t xml:space="preserve">základnej filozofie a princípov systému </w:t>
            </w:r>
          </w:p>
          <w:p w:rsidR="00071B02" w:rsidRDefault="008F460B">
            <w:pPr>
              <w:numPr>
                <w:ilvl w:val="0"/>
                <w:numId w:val="22"/>
              </w:numPr>
              <w:spacing w:after="23" w:line="259" w:lineRule="auto"/>
              <w:ind w:hanging="720"/>
              <w:jc w:val="left"/>
            </w:pPr>
            <w:r>
              <w:t xml:space="preserve">Široký participatívny </w:t>
            </w:r>
          </w:p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proces prípravy, zapojenie expertov a verejnosti </w:t>
            </w:r>
          </w:p>
        </w:tc>
        <w:tc>
          <w:tcPr>
            <w:tcW w:w="3545" w:type="dxa"/>
            <w:tcBorders>
              <w:top w:val="single" w:sz="30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71B02" w:rsidRDefault="008F460B">
            <w:pPr>
              <w:spacing w:after="57" w:line="259" w:lineRule="auto"/>
              <w:ind w:left="4" w:firstLine="0"/>
              <w:jc w:val="left"/>
            </w:pPr>
            <w:r>
              <w:rPr>
                <w:b/>
              </w:rPr>
              <w:t>Správa o stave školstva: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3"/>
              </w:numPr>
              <w:spacing w:after="0" w:line="321" w:lineRule="auto"/>
              <w:ind w:right="263" w:firstLine="0"/>
              <w:jc w:val="left"/>
            </w:pPr>
            <w:r>
              <w:t xml:space="preserve">Staršie údaje </w:t>
            </w:r>
            <w:r>
              <w:rPr>
                <w:rFonts w:ascii="Wingdings" w:eastAsia="Wingdings" w:hAnsi="Wingdings" w:cs="Wingdings"/>
              </w:rPr>
              <w:t>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Menej kvalitatívnych </w:t>
            </w:r>
          </w:p>
          <w:p w:rsidR="00071B02" w:rsidRDefault="008F460B">
            <w:pPr>
              <w:spacing w:after="63" w:line="259" w:lineRule="auto"/>
              <w:ind w:left="4" w:firstLine="0"/>
              <w:jc w:val="left"/>
            </w:pPr>
            <w:r>
              <w:t xml:space="preserve">aspektov </w:t>
            </w:r>
          </w:p>
          <w:p w:rsidR="00071B02" w:rsidRDefault="008F460B">
            <w:pPr>
              <w:numPr>
                <w:ilvl w:val="0"/>
                <w:numId w:val="23"/>
              </w:numPr>
              <w:spacing w:after="28" w:line="259" w:lineRule="auto"/>
              <w:ind w:right="263" w:firstLine="0"/>
              <w:jc w:val="left"/>
            </w:pPr>
            <w:r>
              <w:t xml:space="preserve">Užší vecný záber  </w:t>
            </w:r>
          </w:p>
          <w:p w:rsidR="00071B02" w:rsidRDefault="008F460B">
            <w:pPr>
              <w:spacing w:after="16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:rsidR="00071B02" w:rsidRDefault="008F460B">
            <w:pPr>
              <w:spacing w:after="16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:rsidR="00071B02" w:rsidRDefault="008F460B">
            <w:pPr>
              <w:spacing w:after="69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:rsidR="00071B02" w:rsidRDefault="008F460B">
            <w:pPr>
              <w:spacing w:after="7" w:line="311" w:lineRule="auto"/>
              <w:ind w:left="4" w:right="569" w:firstLine="0"/>
              <w:jc w:val="left"/>
            </w:pPr>
            <w:r>
              <w:rPr>
                <w:b/>
              </w:rPr>
              <w:t>Učiace sa Slovensko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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Slabšia previazanosť </w:t>
            </w:r>
          </w:p>
          <w:p w:rsidR="00071B02" w:rsidRDefault="008F460B">
            <w:pPr>
              <w:spacing w:after="65" w:line="259" w:lineRule="auto"/>
              <w:ind w:left="4" w:firstLine="0"/>
              <w:jc w:val="left"/>
            </w:pPr>
            <w:r>
              <w:t xml:space="preserve">a integrácia jednotlivých kapitol </w:t>
            </w:r>
          </w:p>
          <w:p w:rsidR="00071B02" w:rsidRDefault="008F460B">
            <w:pPr>
              <w:numPr>
                <w:ilvl w:val="0"/>
                <w:numId w:val="24"/>
              </w:numPr>
              <w:spacing w:after="0" w:line="319" w:lineRule="auto"/>
              <w:ind w:firstLine="0"/>
              <w:jc w:val="left"/>
            </w:pPr>
            <w:r>
              <w:t xml:space="preserve">Absencia kvantitatívnej analýzy </w:t>
            </w:r>
          </w:p>
          <w:p w:rsidR="00071B02" w:rsidRDefault="008F460B">
            <w:pPr>
              <w:numPr>
                <w:ilvl w:val="0"/>
                <w:numId w:val="24"/>
              </w:numPr>
              <w:spacing w:after="23" w:line="259" w:lineRule="auto"/>
              <w:ind w:firstLine="0"/>
              <w:jc w:val="left"/>
            </w:pPr>
            <w:r>
              <w:t xml:space="preserve">Slabé rozpracovanie </w:t>
            </w:r>
          </w:p>
          <w:p w:rsidR="00071B02" w:rsidRDefault="008F460B">
            <w:pPr>
              <w:spacing w:after="11" w:line="304" w:lineRule="auto"/>
              <w:ind w:left="4" w:right="61" w:firstLine="0"/>
              <w:jc w:val="left"/>
            </w:pPr>
            <w:r>
              <w:t xml:space="preserve">celoživotného vzdelávania v časti neformálneho vzdelávania </w:t>
            </w:r>
            <w:r>
              <w:rPr>
                <w:rFonts w:ascii="Wingdings" w:eastAsia="Wingdings" w:hAnsi="Wingdings" w:cs="Wingdings"/>
              </w:rPr>
              <w:t>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Príliš veľký počet opatrení vyjadrených na rôznych úrovniach z vecného aj </w:t>
            </w:r>
          </w:p>
          <w:p w:rsidR="00071B02" w:rsidRDefault="008F460B">
            <w:pPr>
              <w:spacing w:after="68" w:line="259" w:lineRule="auto"/>
              <w:ind w:left="4" w:firstLine="0"/>
              <w:jc w:val="left"/>
            </w:pPr>
            <w:r>
              <w:t xml:space="preserve">procesného hľadiska </w:t>
            </w:r>
          </w:p>
          <w:p w:rsidR="00071B02" w:rsidRDefault="008F460B">
            <w:pPr>
              <w:numPr>
                <w:ilvl w:val="0"/>
                <w:numId w:val="24"/>
              </w:numPr>
              <w:spacing w:after="1" w:line="314" w:lineRule="auto"/>
              <w:ind w:firstLine="0"/>
              <w:jc w:val="left"/>
            </w:pPr>
            <w:r>
              <w:t xml:space="preserve">Absencia časového rámca a odhadu finančných dopadov </w:t>
            </w:r>
          </w:p>
          <w:p w:rsidR="00071B02" w:rsidRDefault="008F460B">
            <w:pPr>
              <w:numPr>
                <w:ilvl w:val="0"/>
                <w:numId w:val="24"/>
              </w:numPr>
              <w:spacing w:after="0" w:line="259" w:lineRule="auto"/>
              <w:ind w:firstLine="0"/>
              <w:jc w:val="left"/>
            </w:pPr>
            <w:r>
              <w:t xml:space="preserve">Príliš dlhý proces </w:t>
            </w:r>
          </w:p>
        </w:tc>
        <w:tc>
          <w:tcPr>
            <w:tcW w:w="4253" w:type="dxa"/>
            <w:tcBorders>
              <w:top w:val="single" w:sz="30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61" w:line="259" w:lineRule="auto"/>
              <w:ind w:left="4" w:firstLine="0"/>
              <w:jc w:val="left"/>
            </w:pPr>
            <w:r>
              <w:rPr>
                <w:b/>
              </w:rPr>
              <w:t>NPRVV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5"/>
              </w:numPr>
              <w:spacing w:after="0" w:line="295" w:lineRule="auto"/>
              <w:ind w:firstLine="0"/>
              <w:jc w:val="left"/>
            </w:pPr>
            <w:r>
              <w:t xml:space="preserve">Dodržanie dlhodobého rámca povedie k vybudovaniu robustného inkluzívneho systému a jednoštruktúrového modelu vzdelávania </w:t>
            </w:r>
          </w:p>
          <w:p w:rsidR="00071B02" w:rsidRDefault="008F460B">
            <w:pPr>
              <w:numPr>
                <w:ilvl w:val="0"/>
                <w:numId w:val="25"/>
              </w:numPr>
              <w:spacing w:after="47" w:line="283" w:lineRule="auto"/>
              <w:ind w:firstLine="0"/>
              <w:jc w:val="left"/>
            </w:pPr>
            <w:r>
              <w:t xml:space="preserve">Opiera sa o viacero zdrojov </w:t>
            </w:r>
            <w:r>
              <w:rPr>
                <w:rFonts w:ascii="Wingdings" w:eastAsia="Wingdings" w:hAnsi="Wingdings" w:cs="Wingdings"/>
              </w:rPr>
              <w:t>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Prepojenie na PVV </w:t>
            </w:r>
          </w:p>
          <w:p w:rsidR="00071B02" w:rsidRDefault="008F460B">
            <w:pPr>
              <w:numPr>
                <w:ilvl w:val="0"/>
                <w:numId w:val="25"/>
              </w:numPr>
              <w:spacing w:after="61" w:line="259" w:lineRule="auto"/>
              <w:ind w:firstLine="0"/>
              <w:jc w:val="left"/>
            </w:pPr>
            <w:r>
              <w:t xml:space="preserve">Zintegrovanie vecnej stránky </w:t>
            </w:r>
          </w:p>
          <w:p w:rsidR="00071B02" w:rsidRDefault="008F460B">
            <w:pPr>
              <w:spacing w:after="1" w:line="314" w:lineRule="auto"/>
              <w:ind w:left="4" w:right="386" w:firstLine="0"/>
              <w:jc w:val="left"/>
            </w:pPr>
            <w:r>
              <w:t xml:space="preserve">Správy o stave školstva a USS </w:t>
            </w:r>
            <w:r>
              <w:rPr>
                <w:rFonts w:ascii="Wingdings" w:eastAsia="Wingdings" w:hAnsi="Wingdings" w:cs="Wingdings"/>
              </w:rPr>
              <w:t>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Integrácia logických intervenčných rámcov Správy o stave školstva a USS </w:t>
            </w:r>
          </w:p>
          <w:p w:rsidR="00071B02" w:rsidRDefault="008F460B">
            <w:pPr>
              <w:numPr>
                <w:ilvl w:val="0"/>
                <w:numId w:val="25"/>
              </w:numPr>
              <w:spacing w:after="70" w:line="259" w:lineRule="auto"/>
              <w:ind w:firstLine="0"/>
              <w:jc w:val="left"/>
            </w:pPr>
            <w:r>
              <w:t xml:space="preserve">Zavedenie prierezových tém, </w:t>
            </w:r>
          </w:p>
          <w:p w:rsidR="00071B02" w:rsidRDefault="008F460B">
            <w:pPr>
              <w:spacing w:after="26" w:line="293" w:lineRule="auto"/>
              <w:ind w:left="4" w:right="618" w:firstLine="0"/>
              <w:jc w:val="left"/>
            </w:pPr>
            <w:r>
              <w:t>ktoré si budú vyžadovať prioritnú pozornosť a hlbšie rozpracovanie v rám</w:t>
            </w:r>
            <w:r>
              <w:t xml:space="preserve">ci NPRVV (cestné mapy) </w:t>
            </w:r>
          </w:p>
          <w:p w:rsidR="00071B02" w:rsidRDefault="008F460B">
            <w:pPr>
              <w:numPr>
                <w:ilvl w:val="0"/>
                <w:numId w:val="25"/>
              </w:numPr>
              <w:spacing w:after="0" w:line="318" w:lineRule="auto"/>
              <w:ind w:firstLine="0"/>
              <w:jc w:val="left"/>
            </w:pPr>
            <w:r>
              <w:t xml:space="preserve">Doplnenie časových rámcov intervencií </w:t>
            </w:r>
          </w:p>
          <w:p w:rsidR="00071B02" w:rsidRDefault="008F460B">
            <w:pPr>
              <w:numPr>
                <w:ilvl w:val="0"/>
                <w:numId w:val="25"/>
              </w:numPr>
              <w:spacing w:after="0" w:line="319" w:lineRule="auto"/>
              <w:ind w:firstLine="0"/>
              <w:jc w:val="left"/>
            </w:pPr>
            <w:r>
              <w:t xml:space="preserve">Odhad finančných dopadov opatrení </w:t>
            </w:r>
          </w:p>
          <w:p w:rsidR="00071B02" w:rsidRDefault="008F460B">
            <w:pPr>
              <w:numPr>
                <w:ilvl w:val="0"/>
                <w:numId w:val="25"/>
              </w:numPr>
              <w:spacing w:after="0" w:line="259" w:lineRule="auto"/>
              <w:ind w:firstLine="0"/>
              <w:jc w:val="left"/>
            </w:pPr>
            <w:r>
              <w:t xml:space="preserve">Zapojenie ostatných rezortov do procesu prípravy </w:t>
            </w:r>
          </w:p>
        </w:tc>
        <w:tc>
          <w:tcPr>
            <w:tcW w:w="3086" w:type="dxa"/>
            <w:tcBorders>
              <w:top w:val="single" w:sz="30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35" w:line="259" w:lineRule="auto"/>
              <w:ind w:left="4" w:firstLine="0"/>
              <w:jc w:val="left"/>
            </w:pPr>
            <w:r>
              <w:rPr>
                <w:b/>
              </w:rPr>
              <w:t>NPRVV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6"/>
              </w:numPr>
              <w:spacing w:after="59" w:line="282" w:lineRule="auto"/>
              <w:ind w:firstLine="0"/>
              <w:jc w:val="left"/>
            </w:pPr>
            <w:r>
              <w:t xml:space="preserve">Potreba garancie rešpektovania vytýčenej stratégie a opatrení nad </w:t>
            </w:r>
            <w:r>
              <w:t xml:space="preserve">rámec bežného politického cyklu (do r. 2027) </w:t>
            </w:r>
          </w:p>
          <w:p w:rsidR="00071B02" w:rsidRDefault="008F460B">
            <w:pPr>
              <w:numPr>
                <w:ilvl w:val="0"/>
                <w:numId w:val="26"/>
              </w:numPr>
              <w:spacing w:after="0" w:line="259" w:lineRule="auto"/>
              <w:ind w:firstLine="0"/>
              <w:jc w:val="left"/>
            </w:pPr>
            <w:r>
              <w:t xml:space="preserve">Potreba dodržať </w:t>
            </w:r>
          </w:p>
          <w:p w:rsidR="00071B02" w:rsidRDefault="008F460B">
            <w:pPr>
              <w:spacing w:after="26" w:line="273" w:lineRule="auto"/>
              <w:ind w:left="4" w:firstLine="0"/>
              <w:jc w:val="left"/>
            </w:pPr>
            <w:r>
              <w:t xml:space="preserve">finančný rámec na dlhšie obdobie.  </w:t>
            </w:r>
          </w:p>
          <w:p w:rsidR="00071B02" w:rsidRDefault="008F460B">
            <w:pPr>
              <w:numPr>
                <w:ilvl w:val="0"/>
                <w:numId w:val="26"/>
              </w:numPr>
              <w:spacing w:after="22" w:line="259" w:lineRule="auto"/>
              <w:ind w:firstLine="0"/>
              <w:jc w:val="left"/>
            </w:pPr>
            <w:r>
              <w:t xml:space="preserve">Podfinancovanie </w:t>
            </w:r>
          </w:p>
          <w:p w:rsidR="00071B02" w:rsidRDefault="008F460B">
            <w:pPr>
              <w:spacing w:after="0" w:line="259" w:lineRule="auto"/>
              <w:ind w:left="4" w:right="319" w:firstLine="0"/>
              <w:jc w:val="left"/>
            </w:pPr>
            <w:r>
              <w:t xml:space="preserve">v budúcnosti by narušilo celkovú koncepciu nastúpenej zmeny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Niektoré opatrenia nie je možné spoľahlivo technicky riešiť resp. rozpočtovať z dôvodu komplexnosti programu alebo neistoty ohľadom budúceho vývoja cien a ďalších parametrov systému </w:t>
            </w:r>
          </w:p>
        </w:tc>
      </w:tr>
    </w:tbl>
    <w:p w:rsidR="00071B02" w:rsidRDefault="00071B0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4292" w:type="dxa"/>
        <w:tblInd w:w="-166" w:type="dxa"/>
        <w:tblCellMar>
          <w:top w:w="105" w:type="dxa"/>
          <w:left w:w="144" w:type="dxa"/>
          <w:bottom w:w="0" w:type="dxa"/>
          <w:right w:w="292" w:type="dxa"/>
        </w:tblCellMar>
        <w:tblLook w:val="04A0" w:firstRow="1" w:lastRow="0" w:firstColumn="1" w:lastColumn="0" w:noHBand="0" w:noVBand="1"/>
      </w:tblPr>
      <w:tblGrid>
        <w:gridCol w:w="3405"/>
        <w:gridCol w:w="3545"/>
        <w:gridCol w:w="4253"/>
        <w:gridCol w:w="3089"/>
      </w:tblGrid>
      <w:tr w:rsidR="00071B02">
        <w:trPr>
          <w:trHeight w:val="1413"/>
        </w:trPr>
        <w:tc>
          <w:tcPr>
            <w:tcW w:w="3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0" w:right="247" w:firstLine="0"/>
            </w:pPr>
            <w:r>
              <w:t xml:space="preserve">prípravy s ohľadom na ciele a termíny prípravy NPRVV </w:t>
            </w:r>
          </w:p>
        </w:tc>
        <w:tc>
          <w:tcPr>
            <w:tcW w:w="4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rFonts w:ascii="Wingdings" w:eastAsia="Wingdings" w:hAnsi="Wingdings" w:cs="Wingdings"/>
              </w:rPr>
              <w:t>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Zapojenie analytických útvarov UHP a IVP do odhadov finančných dopadov s väzbou na plánovanie štátneho rozpočtu a revíziu výdavkov  </w:t>
            </w:r>
          </w:p>
        </w:tc>
        <w:tc>
          <w:tcPr>
            <w:tcW w:w="3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71B02" w:rsidRDefault="008F460B">
      <w:r>
        <w:br w:type="page"/>
      </w:r>
    </w:p>
    <w:p w:rsidR="00071B02" w:rsidRDefault="00071B0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4209" w:type="dxa"/>
        <w:tblInd w:w="-126" w:type="dxa"/>
        <w:tblCellMar>
          <w:top w:w="14" w:type="dxa"/>
          <w:left w:w="104" w:type="dxa"/>
          <w:bottom w:w="53" w:type="dxa"/>
          <w:right w:w="116" w:type="dxa"/>
        </w:tblCellMar>
        <w:tblLook w:val="04A0" w:firstRow="1" w:lastRow="0" w:firstColumn="1" w:lastColumn="0" w:noHBand="0" w:noVBand="1"/>
      </w:tblPr>
      <w:tblGrid>
        <w:gridCol w:w="1430"/>
        <w:gridCol w:w="1999"/>
        <w:gridCol w:w="921"/>
        <w:gridCol w:w="1707"/>
        <w:gridCol w:w="1487"/>
        <w:gridCol w:w="921"/>
        <w:gridCol w:w="1700"/>
        <w:gridCol w:w="1430"/>
        <w:gridCol w:w="921"/>
        <w:gridCol w:w="1693"/>
      </w:tblGrid>
      <w:tr w:rsidR="00071B02">
        <w:trPr>
          <w:trHeight w:val="639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9" w:type="dxa"/>
            <w:gridSpan w:val="9"/>
            <w:tcBorders>
              <w:top w:val="single" w:sz="12" w:space="0" w:color="000000"/>
              <w:left w:val="nil"/>
              <w:bottom w:val="single" w:sz="2" w:space="0" w:color="DDD9C3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5570" w:right="1943" w:hanging="4983"/>
              <w:jc w:val="left"/>
            </w:pPr>
            <w:r>
              <w:rPr>
                <w:b/>
                <w:sz w:val="22"/>
              </w:rPr>
              <w:t>Tabuľka 1.2 Porovnanie intervenčnej logiky základných dokumentov: úrovne, okruhy, témy, odporúčania</w:t>
            </w:r>
            <w:r>
              <w:rPr>
                <w:b/>
              </w:rPr>
              <w:t xml:space="preserve">  </w:t>
            </w:r>
          </w:p>
        </w:tc>
      </w:tr>
      <w:tr w:rsidR="00071B02">
        <w:trPr>
          <w:trHeight w:val="608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DDD9C3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27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1274" w:right="1424" w:hanging="718"/>
              <w:jc w:val="left"/>
            </w:pPr>
            <w:r>
              <w:rPr>
                <w:b/>
                <w:sz w:val="22"/>
              </w:rPr>
              <w:t xml:space="preserve">Učiace sa Slovensko </w:t>
            </w:r>
            <w:r>
              <w:rPr>
                <w:b/>
              </w:rPr>
              <w:t xml:space="preserve"> </w:t>
            </w:r>
            <w:r>
              <w:rPr>
                <w:b/>
                <w:sz w:val="22"/>
              </w:rPr>
              <w:t>2017</w:t>
            </w:r>
            <w:r>
              <w:rPr>
                <w:b/>
              </w:rPr>
              <w:t xml:space="preserve"> </w:t>
            </w:r>
          </w:p>
        </w:tc>
        <w:tc>
          <w:tcPr>
            <w:tcW w:w="410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1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 xml:space="preserve">Programové vyhlásenie vlády SR </w:t>
            </w:r>
            <w:r>
              <w:rPr>
                <w:b/>
              </w:rPr>
              <w:t xml:space="preserve"> </w:t>
            </w:r>
          </w:p>
          <w:p w:rsidR="00071B02" w:rsidRDefault="008F460B">
            <w:pPr>
              <w:spacing w:after="0" w:line="259" w:lineRule="auto"/>
              <w:ind w:firstLine="0"/>
              <w:jc w:val="center"/>
            </w:pPr>
            <w:r>
              <w:rPr>
                <w:b/>
                <w:sz w:val="22"/>
              </w:rPr>
              <w:t>2016-2020</w:t>
            </w:r>
            <w:r>
              <w:rPr>
                <w:b/>
              </w:rPr>
              <w:t xml:space="preserve"> </w:t>
            </w:r>
          </w:p>
        </w:tc>
        <w:tc>
          <w:tcPr>
            <w:tcW w:w="4044" w:type="dxa"/>
            <w:gridSpan w:val="3"/>
            <w:tcBorders>
              <w:top w:val="single" w:sz="2" w:space="0" w:color="DDD9C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606" w:right="479" w:firstLine="0"/>
              <w:jc w:val="center"/>
            </w:pPr>
            <w:r>
              <w:rPr>
                <w:b/>
                <w:sz w:val="22"/>
              </w:rPr>
              <w:t xml:space="preserve">Správa o stave školstva </w:t>
            </w:r>
            <w:r>
              <w:rPr>
                <w:b/>
              </w:rPr>
              <w:t xml:space="preserve"> </w:t>
            </w:r>
            <w:r>
              <w:rPr>
                <w:b/>
                <w:sz w:val="22"/>
              </w:rPr>
              <w:t>2013</w:t>
            </w:r>
            <w:r>
              <w:rPr>
                <w:b/>
              </w:rPr>
              <w:t xml:space="preserve"> </w:t>
            </w:r>
          </w:p>
        </w:tc>
      </w:tr>
      <w:tr w:rsidR="00071B02">
        <w:trPr>
          <w:trHeight w:val="638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071B02" w:rsidRDefault="008F460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>Úroveň</w:t>
            </w:r>
            <w:r>
              <w:rPr>
                <w:b/>
              </w:rPr>
              <w:t xml:space="preserve"> </w:t>
            </w:r>
          </w:p>
        </w:tc>
        <w:tc>
          <w:tcPr>
            <w:tcW w:w="19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071B02" w:rsidRDefault="008F460B">
            <w:pPr>
              <w:spacing w:after="16" w:line="259" w:lineRule="auto"/>
              <w:ind w:left="14" w:firstLine="0"/>
              <w:jc w:val="center"/>
            </w:pPr>
            <w:r>
              <w:rPr>
                <w:b/>
                <w:sz w:val="22"/>
              </w:rPr>
              <w:t>Okruhy</w:t>
            </w:r>
            <w:r>
              <w:rPr>
                <w:b/>
              </w:rPr>
              <w:t xml:space="preserve"> </w:t>
            </w:r>
          </w:p>
          <w:p w:rsidR="00071B02" w:rsidRDefault="008F460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Počet tém</w:t>
            </w:r>
            <w:r>
              <w:rPr>
                <w:b/>
              </w:rPr>
              <w:t xml:space="preserve"> </w:t>
            </w:r>
          </w:p>
        </w:tc>
        <w:tc>
          <w:tcPr>
            <w:tcW w:w="1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Počet odporúčaní</w:t>
            </w:r>
            <w:r>
              <w:rPr>
                <w:b/>
              </w:rPr>
              <w:t xml:space="preserve"> 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071B02" w:rsidRDefault="008F460B">
            <w:pPr>
              <w:spacing w:after="16" w:line="259" w:lineRule="auto"/>
              <w:ind w:firstLine="0"/>
              <w:jc w:val="center"/>
            </w:pPr>
            <w:r>
              <w:rPr>
                <w:b/>
                <w:sz w:val="22"/>
              </w:rPr>
              <w:t>Okruhy</w:t>
            </w:r>
            <w:r>
              <w:rPr>
                <w:b/>
              </w:rPr>
              <w:t xml:space="preserve"> </w:t>
            </w:r>
          </w:p>
          <w:p w:rsidR="00071B02" w:rsidRDefault="008F460B">
            <w:pPr>
              <w:spacing w:after="0" w:line="259" w:lineRule="auto"/>
              <w:ind w:left="7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Počet tém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Počet odporúčaní</w:t>
            </w:r>
            <w:r>
              <w:rPr>
                <w:b/>
              </w:rPr>
              <w:t xml:space="preserve"> </w:t>
            </w:r>
          </w:p>
        </w:tc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071B02" w:rsidRDefault="008F460B">
            <w:pPr>
              <w:spacing w:after="16" w:line="259" w:lineRule="auto"/>
              <w:ind w:left="12" w:firstLine="0"/>
              <w:jc w:val="center"/>
            </w:pPr>
            <w:r>
              <w:rPr>
                <w:b/>
                <w:sz w:val="22"/>
              </w:rPr>
              <w:t>Okruhy</w:t>
            </w:r>
            <w:r>
              <w:rPr>
                <w:b/>
              </w:rPr>
              <w:t xml:space="preserve"> </w:t>
            </w:r>
          </w:p>
          <w:p w:rsidR="00071B02" w:rsidRDefault="008F460B">
            <w:pPr>
              <w:spacing w:after="0" w:line="259" w:lineRule="auto"/>
              <w:ind w:left="7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Počet tém</w:t>
            </w:r>
            <w:r>
              <w:rPr>
                <w:b/>
              </w:rPr>
              <w:t xml:space="preserve"> 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Počet odporúčaní</w:t>
            </w:r>
            <w:r>
              <w:rPr>
                <w:b/>
              </w:rPr>
              <w:t xml:space="preserve"> </w:t>
            </w:r>
          </w:p>
        </w:tc>
      </w:tr>
      <w:tr w:rsidR="00071B02">
        <w:trPr>
          <w:trHeight w:val="907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Regionálne školstvo</w:t>
            </w:r>
            <w:r>
              <w:t xml:space="preserve"> </w:t>
            </w:r>
          </w:p>
        </w:tc>
        <w:tc>
          <w:tcPr>
            <w:tcW w:w="19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50" w:line="275" w:lineRule="auto"/>
              <w:ind w:left="4" w:firstLine="0"/>
            </w:pPr>
            <w:r>
              <w:rPr>
                <w:sz w:val="22"/>
              </w:rPr>
              <w:t xml:space="preserve">Kvalita a dostupnosť vých. </w:t>
            </w:r>
          </w:p>
          <w:p w:rsidR="00071B02" w:rsidRDefault="008F460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>a vzdelávania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18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150</w:t>
            </w:r>
            <w:r>
              <w:t xml:space="preserve"> 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Regionálne školstvo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5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3" w:firstLine="0"/>
              <w:jc w:val="center"/>
            </w:pPr>
            <w:r>
              <w:rPr>
                <w:sz w:val="22"/>
              </w:rPr>
              <w:t>38</w:t>
            </w:r>
            <w:r>
              <w:t xml:space="preserve"> </w:t>
            </w:r>
          </w:p>
        </w:tc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>Regionálne školstvo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3" w:firstLine="0"/>
              <w:jc w:val="center"/>
            </w:pPr>
            <w:r>
              <w:rPr>
                <w:sz w:val="22"/>
              </w:rPr>
              <w:t>6</w:t>
            </w:r>
            <w:r>
              <w:t xml:space="preserve"> 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5" w:firstLine="0"/>
              <w:jc w:val="center"/>
            </w:pPr>
            <w:r>
              <w:rPr>
                <w:sz w:val="22"/>
              </w:rPr>
              <w:t>22</w:t>
            </w:r>
            <w:r>
              <w:t xml:space="preserve"> </w:t>
            </w:r>
          </w:p>
        </w:tc>
      </w:tr>
      <w:tr w:rsidR="00071B02">
        <w:trPr>
          <w:trHeight w:val="612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9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>Profesia učiteľa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8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46</w:t>
            </w:r>
            <w:r>
              <w:t xml:space="preserve"> 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Vysoké školstvo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3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3" w:firstLine="0"/>
              <w:jc w:val="center"/>
            </w:pPr>
            <w:r>
              <w:rPr>
                <w:sz w:val="22"/>
              </w:rPr>
              <w:t>34</w:t>
            </w:r>
            <w:r>
              <w:t xml:space="preserve"> </w:t>
            </w:r>
          </w:p>
        </w:tc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>Vysoké školstvo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3" w:firstLine="0"/>
              <w:jc w:val="center"/>
            </w:pPr>
            <w:r>
              <w:rPr>
                <w:sz w:val="22"/>
              </w:rPr>
              <w:t>6</w:t>
            </w:r>
            <w:r>
              <w:t xml:space="preserve"> 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12" w:space="0" w:color="000000"/>
              <w:bottom w:val="single" w:sz="2" w:space="0" w:color="FFFFFF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5" w:firstLine="0"/>
              <w:jc w:val="center"/>
            </w:pPr>
            <w:r>
              <w:rPr>
                <w:sz w:val="22"/>
              </w:rPr>
              <w:t>22</w:t>
            </w:r>
            <w:r>
              <w:t xml:space="preserve"> </w:t>
            </w:r>
          </w:p>
        </w:tc>
      </w:tr>
      <w:tr w:rsidR="00071B02">
        <w:trPr>
          <w:trHeight w:val="902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9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4" w:right="569" w:firstLine="0"/>
              <w:jc w:val="left"/>
            </w:pPr>
            <w:r>
              <w:rPr>
                <w:sz w:val="22"/>
              </w:rPr>
              <w:t>Odborné vzdelávanie a príprava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10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46</w:t>
            </w:r>
            <w:r>
              <w:t xml:space="preserve"> 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Ďalšie vzdelávanie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1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3" w:firstLine="0"/>
              <w:jc w:val="center"/>
            </w:pPr>
            <w:r>
              <w:rPr>
                <w:sz w:val="22"/>
              </w:rPr>
              <w:t>4</w:t>
            </w:r>
            <w:r>
              <w:t xml:space="preserve"> </w:t>
            </w:r>
          </w:p>
        </w:tc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693" w:type="dxa"/>
            <w:tcBorders>
              <w:top w:val="single" w:sz="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5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071B02">
        <w:trPr>
          <w:trHeight w:val="1196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9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>Riadenie a financovanie regionálneho školstva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4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43</w:t>
            </w:r>
            <w:r>
              <w:t xml:space="preserve"> 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Šport a mládež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2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3" w:firstLine="0"/>
              <w:jc w:val="center"/>
            </w:pPr>
            <w:r>
              <w:rPr>
                <w:sz w:val="22"/>
              </w:rPr>
              <w:t>15</w:t>
            </w:r>
            <w:r>
              <w:t xml:space="preserve"> </w:t>
            </w:r>
          </w:p>
        </w:tc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2" w:firstLine="0"/>
              <w:jc w:val="center"/>
            </w:pP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t xml:space="preserve"> 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5" w:firstLine="0"/>
              <w:jc w:val="center"/>
            </w:pPr>
            <w:r>
              <w:t xml:space="preserve"> </w:t>
            </w:r>
          </w:p>
        </w:tc>
      </w:tr>
      <w:tr w:rsidR="00071B02">
        <w:trPr>
          <w:trHeight w:val="1193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Vysoké školstvo</w:t>
            </w:r>
            <w:r>
              <w:t xml:space="preserve"> </w:t>
            </w:r>
          </w:p>
        </w:tc>
        <w:tc>
          <w:tcPr>
            <w:tcW w:w="19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>Kvalita, otvorenosť a dostupnosť vysokoškolského vzdelávania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13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47</w:t>
            </w:r>
            <w:r>
              <w:t xml:space="preserve"> 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2" w:firstLine="0"/>
              <w:jc w:val="center"/>
            </w:pP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t xml:space="preserve"> 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5" w:firstLine="0"/>
              <w:jc w:val="center"/>
            </w:pPr>
            <w:r>
              <w:t xml:space="preserve"> </w:t>
            </w:r>
          </w:p>
        </w:tc>
      </w:tr>
      <w:tr w:rsidR="00071B02">
        <w:trPr>
          <w:trHeight w:val="903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9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>Veda, výskum a tvorivé činnosti na vysokých školách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6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17</w:t>
            </w:r>
            <w:r>
              <w:t xml:space="preserve"> 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t xml:space="preserve"> </w:t>
            </w:r>
          </w:p>
        </w:tc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2" w:firstLine="0"/>
              <w:jc w:val="center"/>
            </w:pP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t xml:space="preserve"> 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5" w:firstLine="0"/>
              <w:jc w:val="center"/>
            </w:pPr>
            <w:r>
              <w:t xml:space="preserve"> </w:t>
            </w:r>
          </w:p>
        </w:tc>
      </w:tr>
      <w:tr w:rsidR="00071B02">
        <w:trPr>
          <w:trHeight w:val="898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9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>Tretia spoločenská misia vysokých škôl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3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>12</w:t>
            </w:r>
            <w:r>
              <w:t xml:space="preserve"> 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t xml:space="preserve"> </w:t>
            </w:r>
          </w:p>
        </w:tc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2" w:firstLine="0"/>
              <w:jc w:val="center"/>
            </w:pP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t xml:space="preserve"> 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5" w:firstLine="0"/>
              <w:jc w:val="center"/>
            </w:pPr>
            <w:r>
              <w:t xml:space="preserve"> </w:t>
            </w:r>
          </w:p>
        </w:tc>
      </w:tr>
    </w:tbl>
    <w:p w:rsidR="00071B02" w:rsidRDefault="00071B0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4210" w:type="dxa"/>
        <w:tblInd w:w="-126" w:type="dxa"/>
        <w:tblCellMar>
          <w:top w:w="11" w:type="dxa"/>
          <w:left w:w="104" w:type="dxa"/>
          <w:bottom w:w="49" w:type="dxa"/>
          <w:right w:w="115" w:type="dxa"/>
        </w:tblCellMar>
        <w:tblLook w:val="04A0" w:firstRow="1" w:lastRow="0" w:firstColumn="1" w:lastColumn="0" w:noHBand="0" w:noVBand="1"/>
      </w:tblPr>
      <w:tblGrid>
        <w:gridCol w:w="1431"/>
        <w:gridCol w:w="1999"/>
        <w:gridCol w:w="921"/>
        <w:gridCol w:w="1706"/>
        <w:gridCol w:w="1487"/>
        <w:gridCol w:w="921"/>
        <w:gridCol w:w="1700"/>
        <w:gridCol w:w="1430"/>
        <w:gridCol w:w="921"/>
        <w:gridCol w:w="1694"/>
      </w:tblGrid>
      <w:tr w:rsidR="00071B02">
        <w:trPr>
          <w:trHeight w:val="902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9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>Riadenie a financovanie vysokého školstva</w:t>
            </w: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>5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>33</w:t>
            </w:r>
            <w:r>
              <w:t xml:space="preserve"> 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71B02" w:rsidRDefault="008F460B">
            <w:pPr>
              <w:spacing w:after="0" w:line="259" w:lineRule="auto"/>
              <w:ind w:left="72" w:firstLine="0"/>
              <w:jc w:val="center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2" w:firstLine="0"/>
              <w:jc w:val="center"/>
            </w:pPr>
            <w:r>
              <w:t xml:space="preserve"> </w:t>
            </w:r>
          </w:p>
        </w:tc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1" w:firstLine="0"/>
              <w:jc w:val="center"/>
            </w:pPr>
            <w: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71B02" w:rsidRDefault="008F460B">
            <w:pPr>
              <w:spacing w:after="0" w:line="259" w:lineRule="auto"/>
              <w:ind w:left="73" w:firstLine="0"/>
              <w:jc w:val="center"/>
            </w:pPr>
            <w:r>
              <w:t xml:space="preserve"> </w:t>
            </w:r>
          </w:p>
        </w:tc>
      </w:tr>
      <w:tr w:rsidR="00071B02">
        <w:trPr>
          <w:trHeight w:val="312"/>
        </w:trPr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SPOLU</w:t>
            </w:r>
            <w:r>
              <w:rPr>
                <w:b/>
              </w:rPr>
              <w:t xml:space="preserve"> </w:t>
            </w:r>
          </w:p>
        </w:tc>
        <w:tc>
          <w:tcPr>
            <w:tcW w:w="19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>8</w:t>
            </w:r>
            <w:r>
              <w:rPr>
                <w:b/>
              </w:rP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>67</w:t>
            </w:r>
            <w:r>
              <w:rPr>
                <w:b/>
              </w:rPr>
              <w:t xml:space="preserve"> </w:t>
            </w:r>
          </w:p>
        </w:tc>
        <w:tc>
          <w:tcPr>
            <w:tcW w:w="1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>394</w:t>
            </w:r>
            <w:r>
              <w:rPr>
                <w:b/>
              </w:rPr>
              <w:t xml:space="preserve"> 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firstLine="0"/>
              <w:jc w:val="center"/>
            </w:pPr>
            <w:r>
              <w:rPr>
                <w:b/>
                <w:sz w:val="22"/>
              </w:rPr>
              <w:t>4</w:t>
            </w:r>
            <w:r>
              <w:rPr>
                <w:b/>
              </w:rP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b/>
                <w:sz w:val="22"/>
              </w:rPr>
              <w:t>11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12" w:firstLine="0"/>
              <w:jc w:val="center"/>
            </w:pPr>
            <w:r>
              <w:rPr>
                <w:b/>
                <w:sz w:val="22"/>
              </w:rPr>
              <w:t>91</w:t>
            </w:r>
            <w:r>
              <w:rPr>
                <w:b/>
              </w:rPr>
              <w:t xml:space="preserve"> </w:t>
            </w:r>
          </w:p>
        </w:tc>
        <w:tc>
          <w:tcPr>
            <w:tcW w:w="1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>2</w:t>
            </w:r>
            <w:r>
              <w:rPr>
                <w:b/>
              </w:rPr>
              <w:t xml:space="preserve"> 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sz w:val="22"/>
              </w:rPr>
              <w:t>12</w:t>
            </w:r>
            <w:r>
              <w:rPr>
                <w:b/>
              </w:rPr>
              <w:t xml:space="preserve"> </w:t>
            </w:r>
          </w:p>
        </w:tc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sz w:val="22"/>
              </w:rPr>
              <w:t>44</w:t>
            </w:r>
            <w:r>
              <w:rPr>
                <w:b/>
              </w:rPr>
              <w:t xml:space="preserve"> </w:t>
            </w:r>
          </w:p>
        </w:tc>
      </w:tr>
    </w:tbl>
    <w:p w:rsidR="00071B02" w:rsidRDefault="00071B02">
      <w:pPr>
        <w:sectPr w:rsidR="00071B0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438" w:right="1440" w:bottom="1440" w:left="1440" w:header="708" w:footer="708" w:gutter="0"/>
          <w:cols w:space="708"/>
        </w:sectPr>
      </w:pPr>
    </w:p>
    <w:p w:rsidR="00071B02" w:rsidRDefault="008F460B">
      <w:pPr>
        <w:spacing w:after="472" w:line="259" w:lineRule="auto"/>
        <w:ind w:left="0" w:firstLine="0"/>
        <w:jc w:val="left"/>
      </w:pPr>
      <w:r>
        <w:lastRenderedPageBreak/>
        <w:t xml:space="preserve"> </w:t>
      </w:r>
    </w:p>
    <w:p w:rsidR="00071B02" w:rsidRDefault="008F460B">
      <w:pPr>
        <w:pStyle w:val="Nadpis1"/>
        <w:ind w:left="-5"/>
      </w:pPr>
      <w:bookmarkStart w:id="10" w:name="_Toc89328"/>
      <w:r>
        <w:t>2. Definícia a analýza riešeného problému</w:t>
      </w:r>
      <w:r>
        <w:rPr>
          <w:sz w:val="24"/>
        </w:rPr>
        <w:t xml:space="preserve"> </w:t>
      </w:r>
      <w:bookmarkEnd w:id="10"/>
    </w:p>
    <w:p w:rsidR="00071B02" w:rsidRDefault="008F460B">
      <w:pPr>
        <w:pStyle w:val="Nadpis2"/>
        <w:spacing w:after="245"/>
        <w:ind w:left="-5"/>
      </w:pPr>
      <w:bookmarkStart w:id="11" w:name="_Toc89329"/>
      <w:r>
        <w:t xml:space="preserve">2. 1. Vymedzenie riešeného problému </w:t>
      </w:r>
      <w:bookmarkEnd w:id="11"/>
    </w:p>
    <w:p w:rsidR="00071B02" w:rsidRDefault="008F460B">
      <w:pPr>
        <w:pStyle w:val="Nadpis3"/>
        <w:spacing w:after="169"/>
        <w:ind w:left="-5"/>
      </w:pPr>
      <w:bookmarkStart w:id="12" w:name="_Toc89330"/>
      <w:r>
        <w:t xml:space="preserve">2.1.1. Úroveň dosahovania cieľov stratégie Európa 2020 v oblasti vzdelávania </w:t>
      </w:r>
      <w:bookmarkEnd w:id="12"/>
    </w:p>
    <w:p w:rsidR="00071B02" w:rsidRDefault="008F460B">
      <w:pPr>
        <w:spacing w:after="133"/>
        <w:ind w:right="79"/>
      </w:pPr>
      <w:r>
        <w:t>Stratégia Európa 2020, ktorá je v súčasnosti základným medzinárodným rámcom definujúcim ciele v oblasti vzdelávania pre členské krajiny EÚ, o</w:t>
      </w:r>
      <w:r>
        <w:t xml:space="preserve">bsahuje nasledovných šesť ukazovateľov prepojených na oblasť vzdelávania: </w:t>
      </w:r>
    </w:p>
    <w:p w:rsidR="00071B02" w:rsidRDefault="008F460B">
      <w:pPr>
        <w:numPr>
          <w:ilvl w:val="0"/>
          <w:numId w:val="1"/>
        </w:numPr>
        <w:ind w:hanging="360"/>
      </w:pPr>
      <w:r>
        <w:t xml:space="preserve">podiel mladých ľudí s predčasne ukončeným vzdelávaním </w:t>
      </w:r>
    </w:p>
    <w:p w:rsidR="00071B02" w:rsidRDefault="008F460B">
      <w:pPr>
        <w:numPr>
          <w:ilvl w:val="0"/>
          <w:numId w:val="1"/>
        </w:numPr>
        <w:ind w:hanging="360"/>
      </w:pPr>
      <w:r>
        <w:t xml:space="preserve">podiel vysokoškolsky vzdelaného obyvateľstva vo veku 30-34 rokov </w:t>
      </w:r>
    </w:p>
    <w:p w:rsidR="00071B02" w:rsidRDefault="008F460B">
      <w:pPr>
        <w:numPr>
          <w:ilvl w:val="0"/>
          <w:numId w:val="1"/>
        </w:numPr>
        <w:ind w:hanging="360"/>
      </w:pPr>
      <w:r>
        <w:t xml:space="preserve">podiel 15-ročných žiakov dosahujúcich nízke zručnosti </w:t>
      </w:r>
    </w:p>
    <w:p w:rsidR="00071B02" w:rsidRDefault="008F460B">
      <w:pPr>
        <w:numPr>
          <w:ilvl w:val="0"/>
          <w:numId w:val="1"/>
        </w:numPr>
        <w:ind w:hanging="360"/>
      </w:pPr>
      <w:r>
        <w:t>miera</w:t>
      </w:r>
      <w:r>
        <w:t xml:space="preserve"> zamestnanosti čerstvých absolventov </w:t>
      </w:r>
    </w:p>
    <w:p w:rsidR="00071B02" w:rsidRDefault="008F460B">
      <w:pPr>
        <w:numPr>
          <w:ilvl w:val="0"/>
          <w:numId w:val="1"/>
        </w:numPr>
        <w:ind w:hanging="360"/>
      </w:pPr>
      <w:r>
        <w:t xml:space="preserve">participácia detí na predprimárnom vzdelávaní </w:t>
      </w:r>
    </w:p>
    <w:p w:rsidR="00071B02" w:rsidRDefault="008F460B">
      <w:pPr>
        <w:numPr>
          <w:ilvl w:val="0"/>
          <w:numId w:val="1"/>
        </w:numPr>
        <w:ind w:hanging="360"/>
      </w:pPr>
      <w:r>
        <w:t xml:space="preserve">participácia dospelých na celoživotnom vzdelávaní. </w:t>
      </w:r>
    </w:p>
    <w:p w:rsidR="00071B02" w:rsidRDefault="008F460B">
      <w:pPr>
        <w:spacing w:after="16" w:line="259" w:lineRule="auto"/>
        <w:ind w:left="360" w:firstLine="0"/>
        <w:jc w:val="left"/>
      </w:pPr>
      <w:r>
        <w:t xml:space="preserve"> </w:t>
      </w:r>
    </w:p>
    <w:p w:rsidR="00071B02" w:rsidRDefault="008F460B">
      <w:pPr>
        <w:spacing w:after="83"/>
        <w:ind w:right="75"/>
      </w:pPr>
      <w:r>
        <w:t xml:space="preserve">Napĺňanie cieľových hodnôt uvedených ukazovateľov na Slovensku je na základe údajov Eurostatu uvedený v Tabuľke 2.1. </w:t>
      </w:r>
      <w:r>
        <w:t>Stav napĺňania ukazovateľov Stratégie Európa 2020 v roku 2017 je detailnejšie popísaný v Tabuľke 2.2. Súčasný stav dosvedčuje, že slovenský vzdelávací systém vykazuje známky nedostatočnej miery inklúzie najmä v predprimárnom vzdelávaní (ukazovateľ č. 5), k</w:t>
      </w:r>
      <w:r>
        <w:t>de má Slovensko nízku mieru účasti (76,5 % na Slovensku oproti priemeru EÚ 96,9 % a cieľu stratégie Európa 2020, ktorý je 95 %), ako aj v ďalšom vzdelávaní dospelých (ukazovateľ č. 6), kde má Slovensko nízku mieru účasti (3,4 % na Slovensku v porovnaní s p</w:t>
      </w:r>
      <w:r>
        <w:t>riemerom EÚ 10,9 % a cieľom Stratégie Európa 2020 15 %). Rovnako relatívne vysoký podiel 15-ročných žiakov dosahujúcich nízke zručnosti v testovaní PISA (ukazovateľ č. 4) je významne spojený s výsledkami žiakov zo sociálne slabšieho prostredia a je prejavo</w:t>
      </w:r>
      <w:r>
        <w:t xml:space="preserve">m nedostatočnej inkluzívnosti vzdelávacieho systému.  </w:t>
      </w:r>
    </w:p>
    <w:p w:rsidR="00071B02" w:rsidRDefault="008F460B">
      <w:pPr>
        <w:spacing w:after="83"/>
      </w:pPr>
      <w:r>
        <w:t>Varovný je aj trend vo vývoji predčasne ukončeného vzdelávania (ukazovateľ č. 1), kde Slovensko v roku 2017 dosiahlo 9,3 % a ešte spĺňa cieľ 2020, ktorý je na úrovni 10 %, avšak s ohľadom na trvale ras</w:t>
      </w:r>
      <w:r>
        <w:t>túci podiel predčasne ukončeného vzdelávania (4,7 % v roku 2010 a 9,3 % v roku 2017), je pravdepodobné, že naplnenie cieľa v roku 2020 bude ohrozené. Predčasné ukončenie vzdelávania je tiež významne spojené so situáciou marginalizovaných komunít a žiakov r</w:t>
      </w:r>
      <w:r>
        <w:t>esp. študentov zo sociálne znevýhodneného prostredia a je ďalším z prejavov nedostatočnej inklúzie nášho vzdelávacieho systému. Z uvedeného vyplýva, že naplnenie štyroch zo šiestich cieľov stratégie Európa 2020 v oblasti vzdelávania je znemožnené alebo ohr</w:t>
      </w:r>
      <w:r>
        <w:t xml:space="preserve">ozené nedostatočnou inkluzívnosťou výchovno-vzdelávacieho systému. </w:t>
      </w:r>
      <w:r>
        <w:rPr>
          <w:b/>
        </w:rPr>
        <w:t xml:space="preserve">NPRVV je preto zameraný na posilnenie inklúzie a integrácie výchovno-vzdelávacieho systému v SR ako celku, od predprimárneho vzdelávania až po ďalšie vzdelávanie dospelých. </w:t>
      </w:r>
    </w:p>
    <w:p w:rsidR="00071B02" w:rsidRDefault="008F460B">
      <w:pPr>
        <w:spacing w:after="136" w:line="259" w:lineRule="auto"/>
        <w:ind w:left="0" w:firstLine="0"/>
        <w:jc w:val="left"/>
      </w:pPr>
      <w:r>
        <w:rPr>
          <w:b/>
        </w:rPr>
        <w:t xml:space="preserve">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071B02" w:rsidRDefault="008F460B">
      <w:pPr>
        <w:spacing w:after="0" w:line="267" w:lineRule="auto"/>
        <w:ind w:left="-5"/>
      </w:pPr>
      <w:r>
        <w:rPr>
          <w:b/>
        </w:rPr>
        <w:t>Tabuľka 2.1</w:t>
      </w:r>
      <w:r>
        <w:rPr>
          <w:b/>
        </w:rPr>
        <w:t xml:space="preserve"> Napĺňanie cieľov stratégie Európa 2020 v oblasti vzdelávania na Slovensku </w:t>
      </w:r>
    </w:p>
    <w:tbl>
      <w:tblPr>
        <w:tblStyle w:val="TableGrid"/>
        <w:tblW w:w="9105" w:type="dxa"/>
        <w:tblInd w:w="-14" w:type="dxa"/>
        <w:tblCellMar>
          <w:top w:w="15" w:type="dxa"/>
          <w:left w:w="0" w:type="dxa"/>
          <w:bottom w:w="162" w:type="dxa"/>
          <w:right w:w="115" w:type="dxa"/>
        </w:tblCellMar>
        <w:tblLook w:val="04A0" w:firstRow="1" w:lastRow="0" w:firstColumn="1" w:lastColumn="0" w:noHBand="0" w:noVBand="1"/>
      </w:tblPr>
      <w:tblGrid>
        <w:gridCol w:w="8203"/>
        <w:gridCol w:w="902"/>
      </w:tblGrid>
      <w:tr w:rsidR="00071B02">
        <w:trPr>
          <w:trHeight w:val="787"/>
        </w:trPr>
        <w:tc>
          <w:tcPr>
            <w:tcW w:w="8202" w:type="dxa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EBF1DE"/>
            <w:vAlign w:val="bottom"/>
          </w:tcPr>
          <w:p w:rsidR="00071B02" w:rsidRDefault="008F460B">
            <w:pPr>
              <w:tabs>
                <w:tab w:val="center" w:pos="1550"/>
                <w:tab w:val="center" w:pos="2398"/>
                <w:tab w:val="center" w:pos="3248"/>
                <w:tab w:val="center" w:pos="4102"/>
                <w:tab w:val="center" w:pos="4952"/>
                <w:tab w:val="center" w:pos="5807"/>
                <w:tab w:val="center" w:pos="6661"/>
                <w:tab w:val="center" w:pos="7515"/>
              </w:tabs>
              <w:spacing w:after="0" w:line="259" w:lineRule="auto"/>
              <w:ind w:left="0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b/>
              </w:rPr>
              <w:t xml:space="preserve">2010 </w:t>
            </w:r>
            <w:r>
              <w:rPr>
                <w:b/>
              </w:rPr>
              <w:tab/>
              <w:t xml:space="preserve">2011 </w:t>
            </w:r>
            <w:r>
              <w:rPr>
                <w:b/>
              </w:rPr>
              <w:tab/>
              <w:t xml:space="preserve">2012 </w:t>
            </w:r>
            <w:r>
              <w:rPr>
                <w:b/>
              </w:rPr>
              <w:tab/>
              <w:t xml:space="preserve">2013 </w:t>
            </w:r>
            <w:r>
              <w:rPr>
                <w:b/>
              </w:rPr>
              <w:tab/>
              <w:t xml:space="preserve">2014 </w:t>
            </w:r>
            <w:r>
              <w:rPr>
                <w:b/>
              </w:rPr>
              <w:tab/>
              <w:t xml:space="preserve">2015 </w:t>
            </w:r>
            <w:r>
              <w:rPr>
                <w:b/>
              </w:rPr>
              <w:tab/>
              <w:t xml:space="preserve">2016 </w:t>
            </w:r>
            <w:r>
              <w:rPr>
                <w:b/>
              </w:rPr>
              <w:tab/>
              <w:t xml:space="preserve">2017 </w:t>
            </w:r>
          </w:p>
        </w:tc>
        <w:tc>
          <w:tcPr>
            <w:tcW w:w="902" w:type="dxa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EBF1DE"/>
          </w:tcPr>
          <w:p w:rsidR="00071B02" w:rsidRDefault="008F460B">
            <w:pPr>
              <w:spacing w:after="0" w:line="259" w:lineRule="auto"/>
              <w:ind w:left="0" w:firstLine="91"/>
              <w:jc w:val="left"/>
            </w:pPr>
            <w:r>
              <w:rPr>
                <w:b/>
              </w:rPr>
              <w:t xml:space="preserve">Cieľ (2020) </w:t>
            </w:r>
          </w:p>
        </w:tc>
      </w:tr>
      <w:tr w:rsidR="00071B02">
        <w:trPr>
          <w:trHeight w:val="470"/>
        </w:trPr>
        <w:tc>
          <w:tcPr>
            <w:tcW w:w="8202" w:type="dxa"/>
            <w:tcBorders>
              <w:top w:val="single" w:sz="17" w:space="0" w:color="000000"/>
              <w:left w:val="nil"/>
              <w:bottom w:val="single" w:sz="4" w:space="0" w:color="000000"/>
              <w:right w:val="nil"/>
            </w:tcBorders>
            <w:shd w:val="clear" w:color="auto" w:fill="EBF1DE"/>
          </w:tcPr>
          <w:p w:rsidR="00071B02" w:rsidRDefault="008F460B">
            <w:pPr>
              <w:spacing w:after="0" w:line="259" w:lineRule="auto"/>
              <w:ind w:left="14" w:firstLine="0"/>
              <w:jc w:val="left"/>
            </w:pPr>
            <w:r>
              <w:rPr>
                <w:b/>
              </w:rPr>
              <w:t xml:space="preserve">Osoby s predčasne ukončeným vzdelávaním </w:t>
            </w:r>
            <w:r>
              <w:t>(% vo veku 18 - 24 rokov*)</w:t>
            </w:r>
            <w:r>
              <w:rPr>
                <w:b/>
              </w:rPr>
              <w:t xml:space="preserve"> </w:t>
            </w:r>
          </w:p>
        </w:tc>
        <w:tc>
          <w:tcPr>
            <w:tcW w:w="902" w:type="dxa"/>
            <w:tcBorders>
              <w:top w:val="single" w:sz="17" w:space="0" w:color="000000"/>
              <w:left w:val="nil"/>
              <w:bottom w:val="single" w:sz="4" w:space="0" w:color="000000"/>
              <w:right w:val="nil"/>
            </w:tcBorders>
            <w:shd w:val="clear" w:color="auto" w:fill="EBF1DE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</w:tr>
      <w:tr w:rsidR="00071B02">
        <w:trPr>
          <w:trHeight w:val="448"/>
        </w:trPr>
        <w:tc>
          <w:tcPr>
            <w:tcW w:w="82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tabs>
                <w:tab w:val="center" w:pos="1552"/>
                <w:tab w:val="center" w:pos="2399"/>
                <w:tab w:val="center" w:pos="3249"/>
                <w:tab w:val="center" w:pos="4101"/>
                <w:tab w:val="center" w:pos="4953"/>
                <w:tab w:val="center" w:pos="5808"/>
                <w:tab w:val="center" w:pos="6662"/>
                <w:tab w:val="center" w:pos="7517"/>
              </w:tabs>
              <w:spacing w:after="0" w:line="259" w:lineRule="auto"/>
              <w:ind w:left="0" w:firstLine="0"/>
              <w:jc w:val="left"/>
            </w:pPr>
            <w:r>
              <w:t xml:space="preserve">SK </w:t>
            </w:r>
            <w:r>
              <w:tab/>
              <w:t xml:space="preserve">4,7 </w:t>
            </w:r>
            <w:r>
              <w:tab/>
              <w:t xml:space="preserve">5,1 </w:t>
            </w:r>
            <w:r>
              <w:tab/>
              <w:t xml:space="preserve">5,3 </w:t>
            </w:r>
            <w:r>
              <w:tab/>
              <w:t xml:space="preserve">6,4 </w:t>
            </w:r>
            <w:r>
              <w:tab/>
              <w:t xml:space="preserve">6,7 </w:t>
            </w:r>
            <w:r>
              <w:tab/>
              <w:t xml:space="preserve">6,9 </w:t>
            </w:r>
            <w:r>
              <w:tab/>
              <w:t xml:space="preserve">7,4 </w:t>
            </w:r>
            <w:r>
              <w:tab/>
              <w:t xml:space="preserve">9,3 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202" w:firstLine="0"/>
              <w:jc w:val="left"/>
            </w:pPr>
            <w:r>
              <w:rPr>
                <w:b/>
              </w:rPr>
              <w:t xml:space="preserve">10 </w:t>
            </w:r>
          </w:p>
        </w:tc>
      </w:tr>
    </w:tbl>
    <w:p w:rsidR="00071B02" w:rsidRDefault="008F460B">
      <w:pPr>
        <w:tabs>
          <w:tab w:val="center" w:pos="1537"/>
          <w:tab w:val="center" w:pos="2384"/>
          <w:tab w:val="center" w:pos="3235"/>
          <w:tab w:val="center" w:pos="4087"/>
          <w:tab w:val="center" w:pos="4939"/>
          <w:tab w:val="center" w:pos="5792"/>
          <w:tab w:val="center" w:pos="6648"/>
          <w:tab w:val="center" w:pos="7471"/>
          <w:tab w:val="center" w:pos="8510"/>
        </w:tabs>
        <w:ind w:left="0" w:firstLine="0"/>
        <w:jc w:val="left"/>
      </w:pPr>
      <w:r>
        <w:t xml:space="preserve">EÚ </w:t>
      </w:r>
      <w:r>
        <w:tab/>
        <w:t xml:space="preserve">13,9 </w:t>
      </w:r>
      <w:r>
        <w:tab/>
        <w:t xml:space="preserve">13,4 </w:t>
      </w:r>
      <w:r>
        <w:tab/>
        <w:t xml:space="preserve">12,7 </w:t>
      </w:r>
      <w:r>
        <w:tab/>
        <w:t xml:space="preserve">11,9 </w:t>
      </w:r>
      <w:r>
        <w:tab/>
        <w:t xml:space="preserve">11,2 </w:t>
      </w:r>
      <w:r>
        <w:tab/>
        <w:t xml:space="preserve">11 </w:t>
      </w:r>
      <w:r>
        <w:tab/>
        <w:t xml:space="preserve">10,7 </w:t>
      </w:r>
      <w:r>
        <w:tab/>
        <w:t xml:space="preserve">10,6  </w:t>
      </w:r>
      <w:r>
        <w:tab/>
      </w:r>
      <w:r>
        <w:rPr>
          <w:b/>
        </w:rPr>
        <w:t xml:space="preserve">10 </w:t>
      </w:r>
    </w:p>
    <w:tbl>
      <w:tblPr>
        <w:tblStyle w:val="TableGrid"/>
        <w:tblW w:w="9105" w:type="dxa"/>
        <w:tblInd w:w="-14" w:type="dxa"/>
        <w:tblCellMar>
          <w:top w:w="1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598"/>
        <w:gridCol w:w="854"/>
        <w:gridCol w:w="855"/>
        <w:gridCol w:w="1097"/>
        <w:gridCol w:w="701"/>
      </w:tblGrid>
      <w:tr w:rsidR="00071B02">
        <w:trPr>
          <w:trHeight w:val="455"/>
        </w:trPr>
        <w:tc>
          <w:tcPr>
            <w:tcW w:w="7307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8F460B">
            <w:pPr>
              <w:spacing w:after="0" w:line="259" w:lineRule="auto"/>
              <w:ind w:left="14" w:firstLine="0"/>
              <w:jc w:val="left"/>
            </w:pPr>
            <w:r>
              <w:rPr>
                <w:b/>
              </w:rPr>
              <w:t>Miera vysokoškolsky vzdelanej populácie</w:t>
            </w:r>
            <w:r>
              <w:t xml:space="preserve"> (% vo veku 30 - 34 rokov) </w:t>
            </w:r>
            <w:r>
              <w:rPr>
                <w:b/>
              </w:rPr>
              <w:t xml:space="preserve"> 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</w:tr>
      <w:tr w:rsidR="00071B02">
        <w:trPr>
          <w:trHeight w:val="454"/>
        </w:trPr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tabs>
                <w:tab w:val="center" w:pos="1552"/>
                <w:tab w:val="center" w:pos="2399"/>
                <w:tab w:val="center" w:pos="3249"/>
                <w:tab w:val="center" w:pos="4101"/>
                <w:tab w:val="center" w:pos="4953"/>
              </w:tabs>
              <w:spacing w:after="0" w:line="259" w:lineRule="auto"/>
              <w:ind w:left="0" w:firstLine="0"/>
              <w:jc w:val="left"/>
            </w:pPr>
            <w:r>
              <w:t xml:space="preserve">SK </w:t>
            </w:r>
            <w:r>
              <w:tab/>
              <w:t xml:space="preserve">22,1 </w:t>
            </w:r>
            <w:r>
              <w:tab/>
              <w:t xml:space="preserve">23,2 </w:t>
            </w:r>
            <w:r>
              <w:tab/>
              <w:t xml:space="preserve">23,7 </w:t>
            </w:r>
            <w:r>
              <w:tab/>
              <w:t xml:space="preserve">26,9 </w:t>
            </w:r>
            <w:r>
              <w:tab/>
              <w:t xml:space="preserve">26,9 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28,2 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31,5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34,4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40 </w:t>
            </w:r>
          </w:p>
        </w:tc>
      </w:tr>
      <w:tr w:rsidR="00071B02">
        <w:trPr>
          <w:trHeight w:val="463"/>
        </w:trPr>
        <w:tc>
          <w:tcPr>
            <w:tcW w:w="5598" w:type="dxa"/>
            <w:tcBorders>
              <w:top w:val="nil"/>
              <w:left w:val="nil"/>
              <w:bottom w:val="single" w:sz="6" w:space="0" w:color="EBF1DE"/>
              <w:right w:val="nil"/>
            </w:tcBorders>
          </w:tcPr>
          <w:p w:rsidR="00071B02" w:rsidRDefault="008F460B">
            <w:pPr>
              <w:tabs>
                <w:tab w:val="center" w:pos="1552"/>
                <w:tab w:val="center" w:pos="2399"/>
                <w:tab w:val="center" w:pos="3248"/>
                <w:tab w:val="center" w:pos="4101"/>
                <w:tab w:val="center" w:pos="4953"/>
              </w:tabs>
              <w:spacing w:after="0" w:line="259" w:lineRule="auto"/>
              <w:ind w:left="0" w:firstLine="0"/>
              <w:jc w:val="left"/>
            </w:pPr>
            <w:r>
              <w:t xml:space="preserve">EÚ </w:t>
            </w:r>
            <w:r>
              <w:tab/>
              <w:t xml:space="preserve">33,8 </w:t>
            </w:r>
            <w:r>
              <w:tab/>
              <w:t xml:space="preserve">34,8 </w:t>
            </w:r>
            <w:r>
              <w:tab/>
              <w:t xml:space="preserve">36 </w:t>
            </w:r>
            <w:r>
              <w:tab/>
              <w:t xml:space="preserve">37,1 </w:t>
            </w:r>
            <w:r>
              <w:tab/>
              <w:t xml:space="preserve">37,9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6" w:space="0" w:color="EBF1DE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38,7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6" w:space="0" w:color="EBF1DE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39,1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6" w:space="0" w:color="EBF1DE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39,9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6" w:space="0" w:color="EBF1DE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40 </w:t>
            </w:r>
          </w:p>
        </w:tc>
      </w:tr>
      <w:tr w:rsidR="00071B02">
        <w:trPr>
          <w:trHeight w:val="452"/>
        </w:trPr>
        <w:tc>
          <w:tcPr>
            <w:tcW w:w="5598" w:type="dxa"/>
            <w:tcBorders>
              <w:top w:val="single" w:sz="6" w:space="0" w:color="EBF1DE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8F460B">
            <w:pPr>
              <w:spacing w:after="0" w:line="259" w:lineRule="auto"/>
              <w:ind w:left="14" w:firstLine="0"/>
              <w:jc w:val="left"/>
            </w:pPr>
            <w:r>
              <w:rPr>
                <w:b/>
              </w:rPr>
              <w:t xml:space="preserve">Podiel 15 ročných s nedostatočnými výsledkami  </w:t>
            </w:r>
          </w:p>
        </w:tc>
        <w:tc>
          <w:tcPr>
            <w:tcW w:w="854" w:type="dxa"/>
            <w:tcBorders>
              <w:top w:val="single" w:sz="6" w:space="0" w:color="EBF1DE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EBF1DE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97" w:type="dxa"/>
            <w:tcBorders>
              <w:top w:val="single" w:sz="6" w:space="0" w:color="EBF1DE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1" w:type="dxa"/>
            <w:tcBorders>
              <w:top w:val="single" w:sz="6" w:space="0" w:color="EBF1DE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</w:tr>
      <w:tr w:rsidR="00071B02">
        <w:trPr>
          <w:trHeight w:val="451"/>
        </w:trPr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tabs>
                <w:tab w:val="center" w:pos="1550"/>
                <w:tab w:val="center" w:pos="2369"/>
                <w:tab w:val="center" w:pos="3249"/>
                <w:tab w:val="center" w:pos="4071"/>
                <w:tab w:val="center" w:pos="4923"/>
              </w:tabs>
              <w:spacing w:after="0" w:line="259" w:lineRule="auto"/>
              <w:ind w:left="0" w:firstLine="0"/>
              <w:jc w:val="left"/>
            </w:pPr>
            <w:r>
              <w:t xml:space="preserve">SK </w:t>
            </w:r>
            <w:r>
              <w:tab/>
              <w:t xml:space="preserve">21 </w:t>
            </w:r>
            <w:r>
              <w:tab/>
              <w:t xml:space="preserve">  </w:t>
            </w:r>
            <w:r>
              <w:tab/>
              <w:t xml:space="preserve">27,5 </w:t>
            </w:r>
            <w:r>
              <w:tab/>
              <w:t xml:space="preserve">  </w:t>
            </w:r>
            <w:r>
              <w:tab/>
              <w:t xml:space="preserve">  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30,7 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180" w:firstLine="0"/>
              <w:jc w:val="left"/>
            </w:pPr>
            <w:r>
              <w:t xml:space="preserve"> 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181" w:firstLine="0"/>
              <w:jc w:val="left"/>
            </w:pPr>
            <w:r>
              <w:t xml:space="preserve"> 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15 </w:t>
            </w:r>
          </w:p>
        </w:tc>
      </w:tr>
      <w:tr w:rsidR="00071B02">
        <w:trPr>
          <w:trHeight w:val="460"/>
        </w:trPr>
        <w:tc>
          <w:tcPr>
            <w:tcW w:w="55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tabs>
                <w:tab w:val="center" w:pos="1550"/>
                <w:tab w:val="center" w:pos="2369"/>
                <w:tab w:val="center" w:pos="3248"/>
                <w:tab w:val="center" w:pos="4071"/>
                <w:tab w:val="center" w:pos="4923"/>
              </w:tabs>
              <w:spacing w:after="0" w:line="259" w:lineRule="auto"/>
              <w:ind w:left="0" w:firstLine="0"/>
              <w:jc w:val="left"/>
            </w:pPr>
            <w:r>
              <w:t xml:space="preserve">OECD </w:t>
            </w:r>
            <w:r>
              <w:tab/>
              <w:t xml:space="preserve">20 </w:t>
            </w:r>
            <w:r>
              <w:tab/>
              <w:t xml:space="preserve">  </w:t>
            </w:r>
            <w:r>
              <w:tab/>
              <w:t xml:space="preserve">20 </w:t>
            </w:r>
            <w:r>
              <w:tab/>
              <w:t xml:space="preserve">  </w:t>
            </w:r>
            <w:r>
              <w:tab/>
              <w:t xml:space="preserve"> 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spacing w:after="0" w:line="259" w:lineRule="auto"/>
              <w:ind w:left="89" w:firstLine="0"/>
              <w:jc w:val="left"/>
            </w:pPr>
            <w:r>
              <w:t xml:space="preserve">21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spacing w:after="0" w:line="259" w:lineRule="auto"/>
              <w:ind w:left="180" w:firstLine="0"/>
              <w:jc w:val="left"/>
            </w:pPr>
            <w:r>
              <w:t xml:space="preserve"> 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spacing w:after="0" w:line="259" w:lineRule="auto"/>
              <w:ind w:left="181" w:firstLine="0"/>
              <w:jc w:val="left"/>
            </w:pPr>
            <w:r>
              <w:t xml:space="preserve"> 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15 </w:t>
            </w:r>
          </w:p>
        </w:tc>
      </w:tr>
      <w:tr w:rsidR="00071B02">
        <w:trPr>
          <w:trHeight w:val="774"/>
        </w:trPr>
        <w:tc>
          <w:tcPr>
            <w:tcW w:w="55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8F460B">
            <w:pPr>
              <w:spacing w:after="0" w:line="259" w:lineRule="auto"/>
              <w:ind w:left="14" w:firstLine="0"/>
              <w:jc w:val="left"/>
            </w:pPr>
            <w:r>
              <w:rPr>
                <w:b/>
              </w:rPr>
              <w:t>Vzdelávanie a starostlivosť v rannom detstve</w:t>
            </w:r>
            <w:r>
              <w:t xml:space="preserve"> (% detí o školskej dochádzky)</w:t>
            </w:r>
            <w:r>
              <w:rPr>
                <w:b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8F460B">
            <w:pPr>
              <w:spacing w:after="0" w:line="259" w:lineRule="auto"/>
              <w:ind w:left="-32" w:firstLine="0"/>
            </w:pPr>
            <w:r>
              <w:t>d 4 roko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8F460B">
            <w:pPr>
              <w:spacing w:after="0" w:line="259" w:lineRule="auto"/>
              <w:ind w:left="-87" w:firstLine="0"/>
            </w:pPr>
            <w:r>
              <w:t xml:space="preserve">v po vek 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8F460B">
            <w:pPr>
              <w:spacing w:after="0" w:line="259" w:lineRule="auto"/>
              <w:ind w:left="-54" w:firstLine="0"/>
            </w:pPr>
            <w:r>
              <w:t>začatia povi</w:t>
            </w: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BF1DE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nnej </w:t>
            </w:r>
          </w:p>
        </w:tc>
      </w:tr>
      <w:tr w:rsidR="00071B02">
        <w:trPr>
          <w:trHeight w:val="451"/>
        </w:trPr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tabs>
                <w:tab w:val="center" w:pos="1552"/>
                <w:tab w:val="center" w:pos="2399"/>
                <w:tab w:val="center" w:pos="3249"/>
                <w:tab w:val="center" w:pos="4101"/>
                <w:tab w:val="center" w:pos="4953"/>
              </w:tabs>
              <w:spacing w:after="0" w:line="259" w:lineRule="auto"/>
              <w:ind w:left="0" w:firstLine="0"/>
              <w:jc w:val="left"/>
            </w:pPr>
            <w:r>
              <w:t xml:space="preserve">SK </w:t>
            </w:r>
            <w:r>
              <w:tab/>
              <w:t xml:space="preserve">76,9 </w:t>
            </w:r>
            <w:r>
              <w:tab/>
            </w:r>
            <w:r>
              <w:t xml:space="preserve">76,9 </w:t>
            </w:r>
            <w:r>
              <w:tab/>
              <w:t xml:space="preserve">77,1 </w:t>
            </w:r>
            <w:r>
              <w:tab/>
              <w:t xml:space="preserve">77,5 </w:t>
            </w:r>
            <w:r>
              <w:tab/>
              <w:t xml:space="preserve">77,4 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78,4 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76,5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181" w:firstLine="0"/>
              <w:jc w:val="left"/>
            </w:pPr>
            <w:r>
              <w:t xml:space="preserve"> 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95 </w:t>
            </w:r>
          </w:p>
        </w:tc>
      </w:tr>
      <w:tr w:rsidR="00071B02">
        <w:trPr>
          <w:trHeight w:val="460"/>
        </w:trPr>
        <w:tc>
          <w:tcPr>
            <w:tcW w:w="55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tabs>
                <w:tab w:val="center" w:pos="1552"/>
                <w:tab w:val="center" w:pos="2399"/>
                <w:tab w:val="center" w:pos="3249"/>
                <w:tab w:val="center" w:pos="4101"/>
                <w:tab w:val="center" w:pos="4953"/>
              </w:tabs>
              <w:spacing w:after="0" w:line="259" w:lineRule="auto"/>
              <w:ind w:left="0" w:firstLine="0"/>
              <w:jc w:val="left"/>
            </w:pPr>
            <w:r>
              <w:t xml:space="preserve">EÚ </w:t>
            </w:r>
            <w:r>
              <w:tab/>
              <w:t xml:space="preserve">92,9 </w:t>
            </w:r>
            <w:r>
              <w:tab/>
              <w:t xml:space="preserve">93,2 </w:t>
            </w:r>
            <w:r>
              <w:tab/>
              <w:t xml:space="preserve">93,9 </w:t>
            </w:r>
            <w:r>
              <w:tab/>
              <w:t xml:space="preserve">94,2 </w:t>
            </w:r>
            <w:r>
              <w:tab/>
              <w:t xml:space="preserve">94,3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95,4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96,9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spacing w:after="0" w:line="259" w:lineRule="auto"/>
              <w:ind w:left="181" w:firstLine="0"/>
              <w:jc w:val="left"/>
            </w:pPr>
            <w:r>
              <w:t xml:space="preserve"> 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95 </w:t>
            </w:r>
          </w:p>
        </w:tc>
      </w:tr>
      <w:tr w:rsidR="00071B02">
        <w:trPr>
          <w:trHeight w:val="460"/>
        </w:trPr>
        <w:tc>
          <w:tcPr>
            <w:tcW w:w="7307" w:type="dxa"/>
            <w:gridSpan w:val="3"/>
            <w:tcBorders>
              <w:top w:val="single" w:sz="4" w:space="0" w:color="000000"/>
              <w:left w:val="nil"/>
              <w:bottom w:val="single" w:sz="6" w:space="0" w:color="FFFFFF"/>
              <w:right w:val="nil"/>
            </w:tcBorders>
            <w:shd w:val="clear" w:color="auto" w:fill="EBF1DE"/>
          </w:tcPr>
          <w:p w:rsidR="00071B02" w:rsidRDefault="008F460B">
            <w:pPr>
              <w:spacing w:after="0" w:line="259" w:lineRule="auto"/>
              <w:ind w:left="14" w:firstLine="0"/>
            </w:pPr>
            <w:r>
              <w:rPr>
                <w:b/>
              </w:rPr>
              <w:t xml:space="preserve">Miera zamestnanosti čerstvých absolventov </w:t>
            </w:r>
            <w:r>
              <w:t xml:space="preserve">(vo veku 20 – 34 rokov**) </w:t>
            </w:r>
            <w:r>
              <w:rPr>
                <w:b/>
              </w:rPr>
              <w:t xml:space="preserve"> 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6" w:space="0" w:color="FFFFFF"/>
              <w:right w:val="nil"/>
            </w:tcBorders>
            <w:shd w:val="clear" w:color="auto" w:fill="EBF1DE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6" w:space="0" w:color="FFFFFF"/>
              <w:right w:val="nil"/>
            </w:tcBorders>
            <w:shd w:val="clear" w:color="auto" w:fill="EBF1DE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</w:tr>
      <w:tr w:rsidR="00071B02">
        <w:trPr>
          <w:trHeight w:val="377"/>
        </w:trPr>
        <w:tc>
          <w:tcPr>
            <w:tcW w:w="8404" w:type="dxa"/>
            <w:gridSpan w:val="4"/>
            <w:tcBorders>
              <w:top w:val="single" w:sz="6" w:space="0" w:color="FFFFFF"/>
              <w:left w:val="nil"/>
              <w:bottom w:val="nil"/>
              <w:right w:val="nil"/>
            </w:tcBorders>
          </w:tcPr>
          <w:p w:rsidR="00071B02" w:rsidRDefault="008F460B">
            <w:pPr>
              <w:tabs>
                <w:tab w:val="center" w:pos="1552"/>
                <w:tab w:val="center" w:pos="2399"/>
                <w:tab w:val="center" w:pos="3249"/>
                <w:tab w:val="center" w:pos="4101"/>
                <w:tab w:val="center" w:pos="4953"/>
                <w:tab w:val="center" w:pos="5808"/>
                <w:tab w:val="center" w:pos="6662"/>
                <w:tab w:val="center" w:pos="7517"/>
              </w:tabs>
              <w:spacing w:after="0" w:line="259" w:lineRule="auto"/>
              <w:ind w:left="0" w:firstLine="0"/>
              <w:jc w:val="left"/>
            </w:pPr>
            <w:r>
              <w:t xml:space="preserve">SK </w:t>
            </w:r>
            <w:r>
              <w:tab/>
              <w:t xml:space="preserve">69,5 </w:t>
            </w:r>
            <w:r>
              <w:tab/>
              <w:t xml:space="preserve">70,1 </w:t>
            </w:r>
            <w:r>
              <w:tab/>
              <w:t xml:space="preserve">68,6 </w:t>
            </w:r>
            <w:r>
              <w:tab/>
              <w:t xml:space="preserve">70,3 </w:t>
            </w:r>
            <w:r>
              <w:tab/>
              <w:t xml:space="preserve">72,7 </w:t>
            </w:r>
            <w:r>
              <w:tab/>
              <w:t xml:space="preserve">75,2 </w:t>
            </w:r>
            <w:r>
              <w:tab/>
              <w:t xml:space="preserve">79,5 </w:t>
            </w:r>
            <w:r>
              <w:tab/>
              <w:t xml:space="preserve">81,3 </w:t>
            </w:r>
          </w:p>
        </w:tc>
        <w:tc>
          <w:tcPr>
            <w:tcW w:w="701" w:type="dxa"/>
            <w:tcBorders>
              <w:top w:val="single" w:sz="6" w:space="0" w:color="FFFFFF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82 </w:t>
            </w:r>
          </w:p>
        </w:tc>
      </w:tr>
      <w:tr w:rsidR="00071B02">
        <w:trPr>
          <w:trHeight w:val="534"/>
        </w:trPr>
        <w:tc>
          <w:tcPr>
            <w:tcW w:w="8404" w:type="dxa"/>
            <w:gridSpan w:val="4"/>
            <w:tcBorders>
              <w:top w:val="nil"/>
              <w:left w:val="nil"/>
              <w:bottom w:val="single" w:sz="6" w:space="0" w:color="EBF1DE"/>
              <w:right w:val="nil"/>
            </w:tcBorders>
          </w:tcPr>
          <w:p w:rsidR="00071B02" w:rsidRDefault="008F460B">
            <w:pPr>
              <w:tabs>
                <w:tab w:val="center" w:pos="1552"/>
                <w:tab w:val="center" w:pos="2398"/>
                <w:tab w:val="center" w:pos="3249"/>
                <w:tab w:val="center" w:pos="4101"/>
                <w:tab w:val="center" w:pos="4953"/>
                <w:tab w:val="center" w:pos="5808"/>
                <w:tab w:val="center" w:pos="6662"/>
                <w:tab w:val="center" w:pos="7516"/>
              </w:tabs>
              <w:spacing w:after="0" w:line="259" w:lineRule="auto"/>
              <w:ind w:left="0" w:firstLine="0"/>
              <w:jc w:val="left"/>
            </w:pPr>
            <w:r>
              <w:t xml:space="preserve">EÚ </w:t>
            </w:r>
            <w:r>
              <w:tab/>
              <w:t xml:space="preserve">76,3 </w:t>
            </w:r>
            <w:r>
              <w:tab/>
              <w:t xml:space="preserve">76 </w:t>
            </w:r>
            <w:r>
              <w:tab/>
              <w:t xml:space="preserve">74,6 </w:t>
            </w:r>
            <w:r>
              <w:tab/>
              <w:t xml:space="preserve">74,2 </w:t>
            </w:r>
            <w:r>
              <w:tab/>
            </w:r>
            <w:r>
              <w:t xml:space="preserve">74,7 </w:t>
            </w:r>
            <w:r>
              <w:tab/>
              <w:t xml:space="preserve">75,9 </w:t>
            </w:r>
            <w:r>
              <w:tab/>
              <w:t xml:space="preserve">77,3 </w:t>
            </w:r>
            <w:r>
              <w:tab/>
              <w:t xml:space="preserve">79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6" w:space="0" w:color="EBF1DE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82 </w:t>
            </w:r>
          </w:p>
        </w:tc>
      </w:tr>
      <w:tr w:rsidR="00071B02">
        <w:trPr>
          <w:trHeight w:val="457"/>
        </w:trPr>
        <w:tc>
          <w:tcPr>
            <w:tcW w:w="8404" w:type="dxa"/>
            <w:gridSpan w:val="4"/>
            <w:tcBorders>
              <w:top w:val="single" w:sz="6" w:space="0" w:color="EBF1DE"/>
              <w:left w:val="nil"/>
              <w:bottom w:val="single" w:sz="6" w:space="0" w:color="FFFFFF"/>
              <w:right w:val="nil"/>
            </w:tcBorders>
            <w:shd w:val="clear" w:color="auto" w:fill="EBF1DE"/>
          </w:tcPr>
          <w:p w:rsidR="00071B02" w:rsidRDefault="008F460B">
            <w:pPr>
              <w:spacing w:after="0" w:line="259" w:lineRule="auto"/>
              <w:ind w:left="14" w:firstLine="0"/>
              <w:jc w:val="left"/>
            </w:pPr>
            <w:r>
              <w:rPr>
                <w:b/>
              </w:rPr>
              <w:t xml:space="preserve">Účasť dospelých na celoživotnom vzdelávaní </w:t>
            </w:r>
            <w:r>
              <w:t>(% vo veku 25-64 rokov***)</w:t>
            </w:r>
            <w:r>
              <w:rPr>
                <w:b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EBF1DE"/>
              <w:left w:val="nil"/>
              <w:bottom w:val="single" w:sz="6" w:space="0" w:color="FFFFFF"/>
              <w:right w:val="nil"/>
            </w:tcBorders>
            <w:shd w:val="clear" w:color="auto" w:fill="EBF1DE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</w:tr>
      <w:tr w:rsidR="00071B02">
        <w:trPr>
          <w:trHeight w:val="376"/>
        </w:trPr>
        <w:tc>
          <w:tcPr>
            <w:tcW w:w="8404" w:type="dxa"/>
            <w:gridSpan w:val="4"/>
            <w:tcBorders>
              <w:top w:val="single" w:sz="6" w:space="0" w:color="FFFFFF"/>
              <w:left w:val="nil"/>
              <w:bottom w:val="nil"/>
              <w:right w:val="nil"/>
            </w:tcBorders>
          </w:tcPr>
          <w:p w:rsidR="00071B02" w:rsidRDefault="008F460B">
            <w:pPr>
              <w:tabs>
                <w:tab w:val="center" w:pos="1552"/>
                <w:tab w:val="center" w:pos="2399"/>
                <w:tab w:val="center" w:pos="3249"/>
                <w:tab w:val="center" w:pos="4101"/>
                <w:tab w:val="center" w:pos="4953"/>
                <w:tab w:val="center" w:pos="5808"/>
                <w:tab w:val="center" w:pos="6662"/>
                <w:tab w:val="center" w:pos="7517"/>
              </w:tabs>
              <w:spacing w:after="0" w:line="259" w:lineRule="auto"/>
              <w:ind w:left="0" w:firstLine="0"/>
              <w:jc w:val="left"/>
            </w:pPr>
            <w:r>
              <w:t xml:space="preserve">SK </w:t>
            </w:r>
            <w:r>
              <w:tab/>
              <w:t xml:space="preserve">3,1 </w:t>
            </w:r>
            <w:r>
              <w:tab/>
              <w:t xml:space="preserve">4,1 </w:t>
            </w:r>
            <w:r>
              <w:tab/>
              <w:t xml:space="preserve">3,2 </w:t>
            </w:r>
            <w:r>
              <w:tab/>
              <w:t xml:space="preserve">3,1 </w:t>
            </w:r>
            <w:r>
              <w:tab/>
              <w:t xml:space="preserve">3,1 </w:t>
            </w:r>
            <w:r>
              <w:tab/>
              <w:t xml:space="preserve">3,1 </w:t>
            </w:r>
            <w:r>
              <w:tab/>
              <w:t xml:space="preserve">2,9 </w:t>
            </w:r>
            <w:r>
              <w:tab/>
              <w:t xml:space="preserve">3,4 </w:t>
            </w:r>
          </w:p>
        </w:tc>
        <w:tc>
          <w:tcPr>
            <w:tcW w:w="701" w:type="dxa"/>
            <w:tcBorders>
              <w:top w:val="single" w:sz="6" w:space="0" w:color="FFFFFF"/>
              <w:left w:val="nil"/>
              <w:bottom w:val="nil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15 </w:t>
            </w:r>
          </w:p>
        </w:tc>
      </w:tr>
      <w:tr w:rsidR="00071B02">
        <w:trPr>
          <w:trHeight w:val="529"/>
        </w:trPr>
        <w:tc>
          <w:tcPr>
            <w:tcW w:w="840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tabs>
                <w:tab w:val="center" w:pos="1552"/>
                <w:tab w:val="center" w:pos="2399"/>
                <w:tab w:val="center" w:pos="3249"/>
                <w:tab w:val="center" w:pos="4101"/>
                <w:tab w:val="center" w:pos="4953"/>
                <w:tab w:val="center" w:pos="5808"/>
                <w:tab w:val="center" w:pos="6662"/>
                <w:tab w:val="center" w:pos="7517"/>
              </w:tabs>
              <w:spacing w:after="0" w:line="259" w:lineRule="auto"/>
              <w:ind w:left="0" w:firstLine="0"/>
              <w:jc w:val="left"/>
            </w:pPr>
            <w:r>
              <w:t xml:space="preserve">EÚ </w:t>
            </w:r>
            <w:r>
              <w:tab/>
              <w:t xml:space="preserve">9,3 </w:t>
            </w:r>
            <w:r>
              <w:tab/>
              <w:t xml:space="preserve">9,1 </w:t>
            </w:r>
            <w:r>
              <w:tab/>
              <w:t xml:space="preserve">9,2 </w:t>
            </w:r>
            <w:r>
              <w:tab/>
              <w:t xml:space="preserve">10,7 </w:t>
            </w:r>
            <w:r>
              <w:tab/>
              <w:t xml:space="preserve">10,8 </w:t>
            </w:r>
            <w:r>
              <w:tab/>
              <w:t xml:space="preserve">10,7 </w:t>
            </w:r>
            <w:r>
              <w:tab/>
              <w:t xml:space="preserve">10,8 </w:t>
            </w:r>
            <w:r>
              <w:tab/>
              <w:t xml:space="preserve">10,9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15 </w:t>
            </w:r>
          </w:p>
        </w:tc>
      </w:tr>
    </w:tbl>
    <w:p w:rsidR="00071B02" w:rsidRDefault="008F460B">
      <w:pPr>
        <w:spacing w:after="175" w:line="259" w:lineRule="auto"/>
        <w:ind w:left="0" w:firstLine="0"/>
        <w:jc w:val="left"/>
      </w:pPr>
      <w:r>
        <w:rPr>
          <w:b/>
        </w:rPr>
        <w:t xml:space="preserve"> </w:t>
      </w:r>
    </w:p>
    <w:p w:rsidR="00071B02" w:rsidRDefault="008F460B">
      <w:pPr>
        <w:spacing w:after="170" w:line="268" w:lineRule="auto"/>
        <w:ind w:left="-5"/>
      </w:pPr>
      <w:r>
        <w:rPr>
          <w:i/>
        </w:rPr>
        <w:t xml:space="preserve">*ide o </w:t>
      </w:r>
      <w:r>
        <w:rPr>
          <w:i/>
        </w:rPr>
        <w:t xml:space="preserve">osoby, ktoré dosiahli najviac nižšie sekundárne vzdelanie a neparticipujú na ďalšom vzdelávaní  </w:t>
      </w:r>
    </w:p>
    <w:p w:rsidR="00071B02" w:rsidRDefault="008F460B">
      <w:pPr>
        <w:spacing w:after="170" w:line="268" w:lineRule="auto"/>
        <w:ind w:left="-5"/>
      </w:pPr>
      <w:r>
        <w:rPr>
          <w:i/>
        </w:rPr>
        <w:t xml:space="preserve">** so vzdelaním ukončeným 1 až 3 roky pred referenčným rokom </w:t>
      </w:r>
    </w:p>
    <w:p w:rsidR="00071B02" w:rsidRDefault="008F460B">
      <w:pPr>
        <w:spacing w:after="127" w:line="268" w:lineRule="auto"/>
        <w:ind w:left="-5"/>
      </w:pPr>
      <w:r>
        <w:rPr>
          <w:i/>
        </w:rPr>
        <w:t xml:space="preserve">*** počas posledných štyroch týždňov </w:t>
      </w:r>
    </w:p>
    <w:p w:rsidR="00071B02" w:rsidRDefault="008F460B">
      <w:pPr>
        <w:spacing w:after="134" w:line="268" w:lineRule="auto"/>
        <w:ind w:left="-5"/>
      </w:pPr>
      <w:r>
        <w:rPr>
          <w:i/>
        </w:rPr>
        <w:t xml:space="preserve">Zdroj: Eurostat </w:t>
      </w:r>
    </w:p>
    <w:p w:rsidR="00071B02" w:rsidRDefault="008F460B">
      <w:pPr>
        <w:spacing w:after="136" w:line="259" w:lineRule="auto"/>
        <w:ind w:left="0" w:firstLine="0"/>
        <w:jc w:val="left"/>
      </w:pPr>
      <w:r>
        <w:rPr>
          <w:b/>
        </w:rPr>
        <w:t xml:space="preserve"> </w:t>
      </w:r>
    </w:p>
    <w:p w:rsidR="00071B02" w:rsidRDefault="008F460B">
      <w:pPr>
        <w:spacing w:after="136" w:line="259" w:lineRule="auto"/>
        <w:ind w:left="0" w:firstLine="0"/>
        <w:jc w:val="left"/>
      </w:pPr>
      <w:r>
        <w:rPr>
          <w:b/>
        </w:rPr>
        <w:t xml:space="preserve">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071B02" w:rsidRDefault="008F460B">
      <w:pPr>
        <w:spacing w:after="0" w:line="267" w:lineRule="auto"/>
        <w:ind w:left="-5"/>
      </w:pPr>
      <w:r>
        <w:rPr>
          <w:b/>
        </w:rPr>
        <w:t xml:space="preserve">Tabuľka 2.2 </w:t>
      </w:r>
      <w:r>
        <w:rPr>
          <w:b/>
        </w:rPr>
        <w:t xml:space="preserve">Stav napĺňania ukazovateľov Stratégie Európa 2020 V SR v roku 2017 </w:t>
      </w:r>
    </w:p>
    <w:tbl>
      <w:tblPr>
        <w:tblStyle w:val="TableGrid"/>
        <w:tblW w:w="9322" w:type="dxa"/>
        <w:tblInd w:w="-125" w:type="dxa"/>
        <w:tblCellMar>
          <w:top w:w="51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8350"/>
        <w:gridCol w:w="972"/>
      </w:tblGrid>
      <w:tr w:rsidR="00071B02">
        <w:trPr>
          <w:trHeight w:val="2350"/>
        </w:trPr>
        <w:tc>
          <w:tcPr>
            <w:tcW w:w="8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7" w:line="309" w:lineRule="auto"/>
              <w:ind w:left="0" w:right="61" w:firstLine="0"/>
            </w:pPr>
            <w:r>
              <w:rPr>
                <w:b/>
              </w:rPr>
              <w:t xml:space="preserve">1. Podiel mladých ľudí s predčasne ukončeným vzdelávaním sa nachádza pod cieľovou hodnotou Stratégie EÚ 2020, </w:t>
            </w:r>
            <w:r>
              <w:t>kontinuálne však rastie a oproti roku 2010 sa viac ako zdvojnásobil. V priemer</w:t>
            </w:r>
            <w:r>
              <w:t xml:space="preserve">e EÚ je možné sledovať opačný trend. </w:t>
            </w:r>
          </w:p>
          <w:p w:rsidR="00071B02" w:rsidRDefault="008F460B">
            <w:pPr>
              <w:spacing w:after="0" w:line="259" w:lineRule="auto"/>
              <w:ind w:left="0" w:right="62" w:firstLine="0"/>
            </w:pPr>
            <w:r>
              <w:t>V roku 2017 malo na Slovensku predčasne ukončené vzdelávanie 9,3 % (EÚ 10,6) mladých ľudí vo veku 18-24 rokov. V roku 2010 to bolo iba 4,7 % (EÚ 13,9 %). Ide o ľudí, ktorí dosiahli najviac nižšie sekundárne vzdelanie a</w:t>
            </w:r>
            <w:r>
              <w:t xml:space="preserve"> neparticipujú na ďalšom vzdelávaní.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071B02" w:rsidRDefault="008F460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! </w:t>
            </w:r>
          </w:p>
        </w:tc>
      </w:tr>
      <w:tr w:rsidR="00071B02">
        <w:trPr>
          <w:trHeight w:val="2034"/>
        </w:trPr>
        <w:tc>
          <w:tcPr>
            <w:tcW w:w="8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17" w:line="301" w:lineRule="auto"/>
              <w:ind w:left="0" w:right="60" w:firstLine="0"/>
            </w:pPr>
            <w:r>
              <w:rPr>
                <w:b/>
              </w:rPr>
              <w:t xml:space="preserve">2. Podiel vysokoškolsky vzdelaného obyvateľstva vo veku 30-34 rokov na Slovensku dobieha priemer EÚ a približuje sa k cieľu Stratégie EÚ 2020. </w:t>
            </w:r>
            <w:r>
              <w:t xml:space="preserve">V roku 2016 dosahoval podiel 30-34 ročných ľudí s </w:t>
            </w:r>
            <w:r>
              <w:t xml:space="preserve">VŠ vzdelaním na Slovensku 34,4 % (EÚ 39,9 %), pričom v roku 2010 to bolo 22,1 % (EÚ 33,8 %). </w:t>
            </w:r>
          </w:p>
          <w:p w:rsidR="00071B02" w:rsidRDefault="008F460B">
            <w:pPr>
              <w:spacing w:after="0" w:line="259" w:lineRule="auto"/>
              <w:ind w:left="0" w:firstLine="0"/>
            </w:pPr>
            <w:r>
              <w:t xml:space="preserve">Pri zachovaní doterajšieho trendu by do roku 2020 Slovensko malo dosiahnuť cieľ Stratégie pre rok 2020, ktorý je 40 %.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071B02" w:rsidRDefault="008F460B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Yu Gothic UI" w:eastAsia="Yu Gothic UI" w:hAnsi="Yu Gothic UI" w:cs="Yu Gothic UI"/>
              </w:rPr>
              <w:t>✓</w:t>
            </w:r>
            <w:r>
              <w:rPr>
                <w:b/>
              </w:rPr>
              <w:t xml:space="preserve"> </w:t>
            </w:r>
          </w:p>
        </w:tc>
      </w:tr>
      <w:tr w:rsidR="00071B02">
        <w:trPr>
          <w:trHeight w:val="1717"/>
        </w:trPr>
        <w:tc>
          <w:tcPr>
            <w:tcW w:w="8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60" w:firstLine="0"/>
            </w:pPr>
            <w:r>
              <w:rPr>
                <w:b/>
              </w:rPr>
              <w:t xml:space="preserve">3. Miera zamestnanosti čerstvých absolventov predbehla priemer EÚ a približuje sa k cieľu Stratégie EÚ 2020. </w:t>
            </w:r>
            <w:r>
              <w:t>V roku 2017 dosahovala zamestnanosť absolventov, ktorí ukončili vzdelávanie pred 1 až 3 rokmi na Slovensku 81,3 % (EU 79 %). V roku 2010 to bolo ib</w:t>
            </w:r>
            <w:r>
              <w:t xml:space="preserve">a 69,5 % (EÚ 76,3 %). Cieľ Stratégie pre rok 2020 je 82 %.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071B02" w:rsidRDefault="008F460B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Yu Gothic UI" w:eastAsia="Yu Gothic UI" w:hAnsi="Yu Gothic UI" w:cs="Yu Gothic UI"/>
              </w:rPr>
              <w:t>✓</w:t>
            </w:r>
            <w:r>
              <w:rPr>
                <w:b/>
              </w:rPr>
              <w:t xml:space="preserve"> </w:t>
            </w:r>
          </w:p>
        </w:tc>
      </w:tr>
      <w:tr w:rsidR="00071B02">
        <w:trPr>
          <w:trHeight w:val="1718"/>
        </w:trPr>
        <w:tc>
          <w:tcPr>
            <w:tcW w:w="8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59" w:firstLine="0"/>
            </w:pPr>
            <w:r>
              <w:rPr>
                <w:b/>
              </w:rPr>
              <w:t xml:space="preserve">4. Podiel 15-ročných žiakov dosahujúcich nízke zručnosti je dvojnásobný oproti cieľu Stratégie EÚ 2020. V porovnaní s rokom 2006 sa zvýšil o tretinu. </w:t>
            </w:r>
            <w:r>
              <w:t xml:space="preserve">Podľa výsledkov PISA z </w:t>
            </w:r>
            <w:r>
              <w:t xml:space="preserve">roku 2015 tvoril na Slovensku podiel 15-ročných žiakov s najnižším výkonom 30,7 % (OECD 21 %). V roku 2009 to bolo 21 % (OECD 20 %).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</w:tcPr>
          <w:p w:rsidR="00071B02" w:rsidRDefault="008F460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! </w:t>
            </w:r>
          </w:p>
        </w:tc>
      </w:tr>
      <w:tr w:rsidR="00071B02">
        <w:trPr>
          <w:trHeight w:val="1716"/>
        </w:trPr>
        <w:tc>
          <w:tcPr>
            <w:tcW w:w="8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3" w:line="302" w:lineRule="auto"/>
              <w:ind w:left="0" w:firstLine="0"/>
            </w:pPr>
            <w:r>
              <w:rPr>
                <w:b/>
              </w:rPr>
              <w:t>5. Participácia detí na predprimárnom vzdelávaní je na Slovensku nízka a stagnuje. V priemere krajiny EÚ už cieľ Strat</w:t>
            </w:r>
            <w:r>
              <w:rPr>
                <w:b/>
              </w:rPr>
              <w:t xml:space="preserve">égie EÚ 2020 dosiahli. </w:t>
            </w:r>
            <w:r>
              <w:t xml:space="preserve">V roku </w:t>
            </w:r>
          </w:p>
          <w:p w:rsidR="00071B02" w:rsidRDefault="008F460B">
            <w:pPr>
              <w:spacing w:after="64" w:line="259" w:lineRule="auto"/>
              <w:ind w:left="0" w:firstLine="0"/>
              <w:jc w:val="left"/>
            </w:pPr>
            <w:r>
              <w:t xml:space="preserve">2016 participovalo na Slovensku na pred primárnom vzdelávaní 76,5 % (EÚ </w:t>
            </w:r>
          </w:p>
          <w:p w:rsidR="00071B02" w:rsidRDefault="008F460B">
            <w:pPr>
              <w:spacing w:after="48" w:line="259" w:lineRule="auto"/>
              <w:ind w:left="0" w:firstLine="0"/>
              <w:jc w:val="left"/>
            </w:pPr>
            <w:r>
              <w:t xml:space="preserve">96,9 %) detí vo veku od 4 rokov po vek začatia povinnej školskej dochádzky. </w:t>
            </w:r>
          </w:p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t xml:space="preserve">V roku 2010 to bolo 76,9 % (EÚ 92,9 </w:t>
            </w:r>
            <w:r>
              <w:t>%). Cieľ Stratégie pre rok 2020 je 95 %.</w:t>
            </w:r>
            <w:r>
              <w:rPr>
                <w:b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</w:tcPr>
          <w:p w:rsidR="00071B02" w:rsidRDefault="008F460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! </w:t>
            </w:r>
          </w:p>
        </w:tc>
      </w:tr>
      <w:tr w:rsidR="00071B02">
        <w:trPr>
          <w:trHeight w:val="1398"/>
        </w:trPr>
        <w:tc>
          <w:tcPr>
            <w:tcW w:w="8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62" w:firstLine="0"/>
            </w:pPr>
            <w:r>
              <w:rPr>
                <w:b/>
              </w:rPr>
              <w:t xml:space="preserve">6. Participácia dospelých na celoživotnom vzdelávaní je nízka. </w:t>
            </w:r>
            <w:r>
              <w:t>V roku 2017 sa na formálnom alebo neformálnom vzdelávaní v posledných štyroch týždňoch zúčastňovalo 3,4 % dospelých vo veku 25-64 rokov (EU 10,9 %)</w:t>
            </w:r>
            <w:r>
              <w:t>. Cieľ Stratégie pre rok 2020 je 15 %.</w:t>
            </w:r>
            <w:r>
              <w:rPr>
                <w:b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</w:tcPr>
          <w:p w:rsidR="00071B02" w:rsidRDefault="008F460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! </w:t>
            </w:r>
          </w:p>
        </w:tc>
      </w:tr>
    </w:tbl>
    <w:p w:rsidR="00071B02" w:rsidRDefault="008F460B">
      <w:pPr>
        <w:spacing w:after="262" w:line="268" w:lineRule="auto"/>
        <w:ind w:left="-5"/>
      </w:pPr>
      <w:r>
        <w:rPr>
          <w:i/>
        </w:rPr>
        <w:t xml:space="preserve">Zdroj: Spracované podľa údajov Eurostatu </w:t>
      </w:r>
    </w:p>
    <w:p w:rsidR="00071B02" w:rsidRDefault="008F460B">
      <w:pPr>
        <w:pStyle w:val="Nadpis3"/>
        <w:spacing w:after="165"/>
        <w:ind w:left="-5"/>
      </w:pPr>
      <w:bookmarkStart w:id="13" w:name="_Toc89331"/>
      <w:r>
        <w:t xml:space="preserve">2.1.2. Štruktúra slovenského systému výchovy a vzdelávania  </w:t>
      </w:r>
      <w:bookmarkEnd w:id="13"/>
    </w:p>
    <w:p w:rsidR="00071B02" w:rsidRDefault="008F460B">
      <w:pPr>
        <w:spacing w:after="70"/>
        <w:ind w:right="78"/>
      </w:pPr>
      <w:r>
        <w:t xml:space="preserve">Z hľadiska porovnania slovenského vzdelávacieho systému so štandardizovanými typmi vzdelávacích systémov v </w:t>
      </w:r>
      <w:r>
        <w:t xml:space="preserve">Európe je súčasný vzdelávací systém v SR nesúrodý a ako jeden z mála (len päť v rámci EÚ) nezapadá do štandardizovanej typológie. Uvedená typológia podľa </w:t>
      </w:r>
      <w:r>
        <w:lastRenderedPageBreak/>
        <w:t>zdrojov Európskej komisie (Eurydice</w:t>
      </w:r>
      <w:r>
        <w:rPr>
          <w:vertAlign w:val="superscript"/>
        </w:rPr>
        <w:footnoteReference w:id="6"/>
      </w:r>
      <w:r>
        <w:t xml:space="preserve">) obsahuje tri štandardizované modely vzdelávacích systémov (Obr. </w:t>
      </w:r>
      <w:r>
        <w:t xml:space="preserve">2.1).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/>
      </w:r>
    </w:p>
    <w:p w:rsidR="00071B02" w:rsidRDefault="008F460B">
      <w:pPr>
        <w:spacing w:after="121" w:line="267" w:lineRule="auto"/>
        <w:ind w:left="-5"/>
      </w:pPr>
      <w:r>
        <w:rPr>
          <w:b/>
        </w:rPr>
        <w:lastRenderedPageBreak/>
        <w:t>Obrázok 2.1 Štandardné modely vzdelávacích systémov v Európe</w:t>
      </w:r>
      <w:r>
        <w:t xml:space="preserve"> </w:t>
      </w:r>
    </w:p>
    <w:p w:rsidR="00071B02" w:rsidRDefault="008F460B">
      <w:pPr>
        <w:spacing w:after="79" w:line="259" w:lineRule="auto"/>
        <w:ind w:left="0" w:right="698" w:firstLine="0"/>
        <w:jc w:val="right"/>
      </w:pPr>
      <w:r>
        <w:rPr>
          <w:noProof/>
        </w:rPr>
        <w:drawing>
          <wp:inline distT="0" distB="0" distL="0" distR="0">
            <wp:extent cx="4859931" cy="3581557"/>
            <wp:effectExtent l="0" t="0" r="0" b="0"/>
            <wp:docPr id="4938" name="Picture 4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" name="Picture 49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9931" cy="358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71B02" w:rsidRDefault="008F460B">
      <w:pPr>
        <w:spacing w:after="50" w:line="278" w:lineRule="auto"/>
        <w:ind w:left="0" w:right="75" w:firstLine="0"/>
      </w:pPr>
      <w:r>
        <w:rPr>
          <w:i/>
          <w:sz w:val="20"/>
        </w:rPr>
        <w:t>Pozn.: Poľsko začalo reformy zamerané na prechod k modelu jednotnej štruktúry (ISCED 1 + ISCED 2) Zdroj: Spracované podľa European Commission/EACEA/Eurydice, 2017. The Structure o</w:t>
      </w:r>
      <w:r>
        <w:rPr>
          <w:i/>
          <w:sz w:val="20"/>
        </w:rPr>
        <w:t xml:space="preserve">f the European Education Systems 2017/18: Schematic Diagrams. Eurydice Facts and Figures. Luxembourg: Publications Office of the European Union. </w:t>
      </w:r>
    </w:p>
    <w:p w:rsidR="00071B02" w:rsidRDefault="008F460B">
      <w:pPr>
        <w:numPr>
          <w:ilvl w:val="0"/>
          <w:numId w:val="2"/>
        </w:numPr>
        <w:spacing w:after="49" w:line="268" w:lineRule="auto"/>
        <w:ind w:hanging="360"/>
      </w:pPr>
      <w:r>
        <w:rPr>
          <w:b/>
        </w:rPr>
        <w:t>Jednotná štruktúra</w:t>
      </w:r>
      <w:r>
        <w:t xml:space="preserve"> (</w:t>
      </w:r>
      <w:r>
        <w:rPr>
          <w:i/>
        </w:rPr>
        <w:t>Single structure education</w:t>
      </w:r>
      <w:r>
        <w:t xml:space="preserve">) (ISCED 1 a ISCED 2): </w:t>
      </w:r>
    </w:p>
    <w:p w:rsidR="00071B02" w:rsidRDefault="008F460B">
      <w:pPr>
        <w:spacing w:after="136"/>
      </w:pPr>
      <w:r>
        <w:t>Vzdelanie je od začiatku do konca povinnej školskej dochádzky poskytované bez prechodov medzi primárnym a nižším sekundárnym vzdelávaním, pričom všeobecné vzdelanie je poskytované spoločne pre všetkých žiakov (tento model je charakteristický pre Fínsko – O</w:t>
      </w:r>
      <w:r>
        <w:t xml:space="preserve">brázok 2.2, Nórsko, Dánsko, Švédsko, Estónsko, Slovinsko, Chorvátsko, Bulharsko, Bosnu a Hercegovinu, Srbsko, Albánsko, Macedónsko). </w:t>
      </w:r>
    </w:p>
    <w:p w:rsidR="00071B02" w:rsidRDefault="008F460B">
      <w:pPr>
        <w:spacing w:after="119" w:line="267" w:lineRule="auto"/>
        <w:ind w:left="-5"/>
      </w:pPr>
      <w:r>
        <w:rPr>
          <w:b/>
        </w:rPr>
        <w:t>Obrázok 2.2 Štruktúra vzdelávacieho systému Fínska – príklad jednotnej štruktúry</w:t>
      </w:r>
      <w:r>
        <w:t xml:space="preserve"> </w:t>
      </w:r>
    </w:p>
    <w:p w:rsidR="00071B02" w:rsidRDefault="008F460B">
      <w:pPr>
        <w:spacing w:after="79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2625" cy="2147570"/>
                <wp:effectExtent l="0" t="0" r="0" b="0"/>
                <wp:docPr id="76047" name="Group 76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2147570"/>
                          <a:chOff x="0" y="0"/>
                          <a:chExt cx="5762625" cy="2147570"/>
                        </a:xfrm>
                      </wpg:grpSpPr>
                      <pic:pic xmlns:pic="http://schemas.openxmlformats.org/drawingml/2006/picture">
                        <pic:nvPicPr>
                          <pic:cNvPr id="4940" name="Picture 494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941" cy="1318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2" name="Picture 49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8895"/>
                            <a:ext cx="5762625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047" style="width:453.75pt;height:169.1pt;mso-position-horizontal-relative:char;mso-position-vertical-relative:line" coordsize="57626,21475">
                <v:shape id="Picture 4940" style="position:absolute;width:57509;height:13188;left:0;top:0;" filled="f">
                  <v:imagedata r:id="rId78"/>
                </v:shape>
                <v:shape id="Picture 4942" style="position:absolute;width:57626;height:8286;left:0;top:13188;" filled="f">
                  <v:imagedata r:id="rId79"/>
                </v:shape>
              </v:group>
            </w:pict>
          </mc:Fallback>
        </mc:AlternateContent>
      </w:r>
      <w:r>
        <w:t xml:space="preserve"> </w:t>
      </w:r>
    </w:p>
    <w:p w:rsidR="00071B02" w:rsidRDefault="008F460B">
      <w:pPr>
        <w:spacing w:after="0" w:line="268" w:lineRule="auto"/>
        <w:ind w:left="-5"/>
      </w:pPr>
      <w:r>
        <w:rPr>
          <w:i/>
        </w:rPr>
        <w:t>Zdroj: Eurypedia, European Commission/EACEA/Eurydice, 2018</w:t>
      </w:r>
      <w:r>
        <w:t xml:space="preserve"> </w:t>
      </w:r>
    </w:p>
    <w:p w:rsidR="00071B02" w:rsidRDefault="008F460B">
      <w:pPr>
        <w:numPr>
          <w:ilvl w:val="0"/>
          <w:numId w:val="2"/>
        </w:numPr>
        <w:ind w:hanging="360"/>
      </w:pPr>
      <w:r>
        <w:rPr>
          <w:b/>
        </w:rPr>
        <w:lastRenderedPageBreak/>
        <w:t>Jednotné jadrové kurikulum</w:t>
      </w:r>
      <w:r>
        <w:t xml:space="preserve"> (</w:t>
      </w:r>
      <w:r>
        <w:rPr>
          <w:i/>
        </w:rPr>
        <w:t>Common core curriculum provision</w:t>
      </w:r>
      <w:r>
        <w:t xml:space="preserve">) – spoločné základné osnovy (ISCED 2): </w:t>
      </w:r>
    </w:p>
    <w:p w:rsidR="00071B02" w:rsidRDefault="008F460B">
      <w:pPr>
        <w:spacing w:after="69"/>
        <w:ind w:right="79"/>
      </w:pPr>
      <w:r>
        <w:t>Po úspešnom ukončení primárneho vzdelávania (ISCED 1) prechádzajú všetci študenti do nižšieho s</w:t>
      </w:r>
      <w:r>
        <w:t xml:space="preserve">ekundárneho vzdelávania (ISCED 2), kde sa učia podľa rovnakého spoločného jadrového kurikula (tento model je charakteristický pre Anglicko, Írsko, Francúzsko, Belgicko, Španielsko, Portugalsko – Obrázok 2.3, Taliansko, Grécko, Rumunsko, a Turecko). </w:t>
      </w:r>
      <w:r>
        <w:rPr>
          <w:b/>
        </w:rPr>
        <w:t>Obrázok</w:t>
      </w:r>
      <w:r>
        <w:rPr>
          <w:b/>
        </w:rPr>
        <w:t xml:space="preserve"> 2.3 Štruktúra vzdelávacieho systému Portugalska – príklad spoločných osnov</w:t>
      </w:r>
      <w:r>
        <w:t xml:space="preserve"> </w:t>
      </w:r>
    </w:p>
    <w:p w:rsidR="00071B02" w:rsidRDefault="008F460B">
      <w:pPr>
        <w:spacing w:after="79" w:line="259" w:lineRule="auto"/>
        <w:ind w:left="0" w:right="24" w:firstLine="0"/>
        <w:jc w:val="right"/>
      </w:pPr>
      <w:r>
        <w:rPr>
          <w:noProof/>
        </w:rPr>
        <w:drawing>
          <wp:inline distT="0" distB="0" distL="0" distR="0">
            <wp:extent cx="5754878" cy="1162685"/>
            <wp:effectExtent l="0" t="0" r="0" b="0"/>
            <wp:docPr id="5063" name="Picture 5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" name="Picture 506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4878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71B02" w:rsidRDefault="008F460B">
      <w:pPr>
        <w:spacing w:after="170" w:line="268" w:lineRule="auto"/>
        <w:ind w:left="-5"/>
      </w:pPr>
      <w:r>
        <w:rPr>
          <w:i/>
        </w:rPr>
        <w:t>Zdroj: Eurypedia, European Commission/EACEA/Eurydice, 2018</w:t>
      </w:r>
      <w:r>
        <w:t xml:space="preserve"> </w:t>
      </w:r>
    </w:p>
    <w:p w:rsidR="00071B02" w:rsidRDefault="008F460B">
      <w:pPr>
        <w:numPr>
          <w:ilvl w:val="0"/>
          <w:numId w:val="2"/>
        </w:numPr>
        <w:spacing w:after="67" w:line="267" w:lineRule="auto"/>
        <w:ind w:hanging="360"/>
      </w:pPr>
      <w:r>
        <w:rPr>
          <w:b/>
        </w:rPr>
        <w:t>Diferencované nižšie stredné vzdelávanie</w:t>
      </w:r>
      <w:r>
        <w:t xml:space="preserve"> (</w:t>
      </w:r>
      <w:r>
        <w:rPr>
          <w:i/>
        </w:rPr>
        <w:t>Differentiated lower secondary education</w:t>
      </w:r>
      <w:r>
        <w:t>) – rozdielne vetvy/prúdy (ISCED 2</w:t>
      </w:r>
      <w:r>
        <w:t xml:space="preserve">): </w:t>
      </w:r>
    </w:p>
    <w:p w:rsidR="00071B02" w:rsidRDefault="008F460B">
      <w:pPr>
        <w:spacing w:after="129"/>
        <w:ind w:right="75"/>
      </w:pPr>
      <w:r>
        <w:t xml:space="preserve">Po úspešnom absolvovaní primárneho vzdelania sa študenti delia do rôznych vzdelávacích trajektórií alebo špecifických druhov škôl, a to buď na začiatku alebo v priebehu nižšieho sekundárneho vzdelávania. V niektorých krajinách sa delia do špecifických </w:t>
      </w:r>
      <w:r>
        <w:t>prúdov odborného, technického, alebo všeobecného vzdelávania. V iných krajinách sa delia do rôznych druhov všeobecného vzdelávania. Po ukončení štúdia dostávajú rôzne druhy dokladov o vzdelaní (tento model je charakteristický pre Nemecko, Rakúsko – Obrázok</w:t>
      </w:r>
      <w:r>
        <w:t xml:space="preserve"> 2.4, Švajčiarsko, Holandsko, Litvu, Luxemburg, Lichtenštajnsko). </w:t>
      </w:r>
    </w:p>
    <w:p w:rsidR="00071B02" w:rsidRDefault="008F460B">
      <w:pPr>
        <w:spacing w:after="118" w:line="267" w:lineRule="auto"/>
        <w:ind w:left="-5"/>
      </w:pPr>
      <w:r>
        <w:rPr>
          <w:b/>
        </w:rPr>
        <w:t>Obrázok 2.4 Štruktúra vzdelávacieho systému Rakúska – príklad rozdielnych vetiev</w:t>
      </w:r>
      <w:r>
        <w:t xml:space="preserve"> </w:t>
      </w:r>
    </w:p>
    <w:p w:rsidR="00071B02" w:rsidRDefault="008F460B">
      <w:pPr>
        <w:spacing w:after="76" w:line="259" w:lineRule="auto"/>
        <w:ind w:left="0" w:right="24" w:firstLine="0"/>
        <w:jc w:val="right"/>
      </w:pPr>
      <w:r>
        <w:rPr>
          <w:noProof/>
        </w:rPr>
        <w:drawing>
          <wp:inline distT="0" distB="0" distL="0" distR="0">
            <wp:extent cx="5756783" cy="2252980"/>
            <wp:effectExtent l="0" t="0" r="0" b="0"/>
            <wp:docPr id="5065" name="Picture 5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" name="Picture 506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6783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71B02" w:rsidRDefault="008F460B">
      <w:pPr>
        <w:spacing w:after="170" w:line="268" w:lineRule="auto"/>
        <w:ind w:left="-5"/>
      </w:pPr>
      <w:r>
        <w:rPr>
          <w:i/>
        </w:rPr>
        <w:t>Zdroj: Eurypedia, European Commission/EACEA/Eurydice, 2018</w:t>
      </w:r>
      <w:r>
        <w:t xml:space="preserve"> </w:t>
      </w:r>
    </w:p>
    <w:p w:rsidR="00071B02" w:rsidRDefault="008F460B">
      <w:pPr>
        <w:spacing w:after="67" w:line="267" w:lineRule="auto"/>
        <w:ind w:left="-5"/>
      </w:pPr>
      <w:r>
        <w:rPr>
          <w:b/>
        </w:rPr>
        <w:t xml:space="preserve">Okrem uvedených štandardných modelov vzdelávacích systémov sa v EÚ vyskytuje neštandardný zmiešaný model v krajinách V4 a v Lotyšsku. Poľsko však už v súčasnosti svoj vzdelávací systém reformuje a prechádza na jednoštruktúrový model. Slovensko, </w:t>
      </w:r>
      <w:r>
        <w:rPr>
          <w:b/>
        </w:rPr>
        <w:lastRenderedPageBreak/>
        <w:t>Česko, Maďa</w:t>
      </w:r>
      <w:r>
        <w:rPr>
          <w:b/>
        </w:rPr>
        <w:t xml:space="preserve">rsko a Lotyšsko sú charakteristické pomerne komplikovaným zmiešaným systémom, ktorý nezapadá do žiadneho z uvedených troch štandardných modelov. </w:t>
      </w:r>
    </w:p>
    <w:p w:rsidR="00071B02" w:rsidRDefault="008F460B">
      <w:pPr>
        <w:spacing w:after="139"/>
        <w:ind w:right="79"/>
      </w:pPr>
      <w:r>
        <w:t>Povinná školská dochádzka je v týchto krajinách síce organizovaná na základe jednoštruktúrového modelu (a to d</w:t>
      </w:r>
      <w:r>
        <w:t>o veku 14 až 16 rokov v závislosti od krajiny), avšak vo veku 10 až 13 rokov môžu študenti prechádzať do iných druhov škôl poskytujúcich nižšie alebo aj vyššie sekundárne vzdelávanie. Týmto je narušená celistvosť blokov ISCED 1 a ISCED 2 v rámci vzdelávaci</w:t>
      </w:r>
      <w:r>
        <w:t xml:space="preserve">eho systému, resp. aj celistvosť poskytovania jadrového kurikula. Štruktúra vzdelávacieho systému na Slovensku znázornená na Obrázku 2.5 ilustruje nasledovné atypické prechody (všetky v priebehu bloku ISCED 2):  </w:t>
      </w:r>
    </w:p>
    <w:p w:rsidR="00071B02" w:rsidRDefault="008F460B">
      <w:pPr>
        <w:numPr>
          <w:ilvl w:val="0"/>
          <w:numId w:val="3"/>
        </w:numPr>
        <w:ind w:firstLine="360"/>
      </w:pPr>
      <w:r>
        <w:t>prechod do 8-ročných gymnázií po 5. ročníku</w:t>
      </w:r>
      <w:r>
        <w:t xml:space="preserve"> základnej školy ; </w:t>
      </w:r>
    </w:p>
    <w:p w:rsidR="00071B02" w:rsidRDefault="008F460B">
      <w:pPr>
        <w:numPr>
          <w:ilvl w:val="0"/>
          <w:numId w:val="3"/>
        </w:numPr>
        <w:spacing w:after="134"/>
        <w:ind w:firstLine="360"/>
      </w:pPr>
      <w:r>
        <w:t xml:space="preserve">prechod do bilingválnych gymnázií po 8. ročníku alebo 9. ročníku základnej školy;  prechod do tanečných konzervatórií po 5. ročníku základnej školy. </w:t>
      </w:r>
    </w:p>
    <w:p w:rsidR="00071B02" w:rsidRDefault="008F460B">
      <w:pPr>
        <w:spacing w:after="120" w:line="267" w:lineRule="auto"/>
        <w:ind w:left="-5"/>
      </w:pPr>
      <w:r>
        <w:rPr>
          <w:b/>
        </w:rPr>
        <w:t xml:space="preserve">Obrázok 2.5 Štruktúra vzdelávacieho systému na Slovensku </w:t>
      </w:r>
    </w:p>
    <w:p w:rsidR="00071B02" w:rsidRDefault="008F460B">
      <w:pPr>
        <w:spacing w:after="79" w:line="259" w:lineRule="auto"/>
        <w:ind w:left="0" w:right="17" w:firstLine="0"/>
        <w:jc w:val="right"/>
      </w:pPr>
      <w:r>
        <w:rPr>
          <w:noProof/>
        </w:rPr>
        <w:drawing>
          <wp:inline distT="0" distB="0" distL="0" distR="0">
            <wp:extent cx="5760720" cy="1235710"/>
            <wp:effectExtent l="0" t="0" r="0" b="0"/>
            <wp:docPr id="5229" name="Picture 5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" name="Picture 522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71B02" w:rsidRDefault="008F460B">
      <w:pPr>
        <w:spacing w:after="170" w:line="268" w:lineRule="auto"/>
        <w:ind w:left="-5"/>
      </w:pPr>
      <w:r>
        <w:rPr>
          <w:i/>
        </w:rPr>
        <w:t>Zdroj: Eurypedia, Europea</w:t>
      </w:r>
      <w:r>
        <w:rPr>
          <w:i/>
        </w:rPr>
        <w:t>n Commission/EACEA/Eurydice, 2018</w:t>
      </w:r>
      <w:r>
        <w:t xml:space="preserve"> </w:t>
      </w:r>
    </w:p>
    <w:p w:rsidR="00071B02" w:rsidRDefault="008F460B">
      <w:pPr>
        <w:spacing w:after="162" w:line="267" w:lineRule="auto"/>
        <w:ind w:left="-5"/>
      </w:pPr>
      <w:r>
        <w:rPr>
          <w:b/>
        </w:rPr>
        <w:t xml:space="preserve">Z hľadiska uvedenej štandardnej typológie teda slovenský systém predstavuje jednoštruktúrový model s atypickým odlivom žiakov v priebehu nižšieho sekundárneho vzdelávania (tj. druhého stupňa základnej školy - ISCED 2) na </w:t>
      </w:r>
      <w:r>
        <w:rPr>
          <w:b/>
        </w:rPr>
        <w:t xml:space="preserve">iné typy škôl.  </w:t>
      </w:r>
    </w:p>
    <w:p w:rsidR="00071B02" w:rsidRDefault="008F460B">
      <w:pPr>
        <w:spacing w:after="144"/>
      </w:pPr>
      <w:r>
        <w:t xml:space="preserve">Uvedená atypickosť vzdelávacieho systému a najmä odliv niektorých žiakov do rôznych typov škôl v priebehu nižšieho sekundárneho vzdelávania má nasledovné prejavy: </w:t>
      </w:r>
    </w:p>
    <w:p w:rsidR="00071B02" w:rsidRDefault="008F460B">
      <w:pPr>
        <w:numPr>
          <w:ilvl w:val="0"/>
          <w:numId w:val="4"/>
        </w:numPr>
        <w:ind w:right="76" w:hanging="360"/>
      </w:pPr>
      <w:r>
        <w:t>prispieva k jeho celkovej segregácii (odčerpaním talentovaných žiakov resp.</w:t>
      </w:r>
      <w:r>
        <w:t xml:space="preserve"> žiakov s lepším sociálnym zázemím) </w:t>
      </w:r>
      <w:r>
        <w:rPr>
          <w:b/>
        </w:rPr>
        <w:t xml:space="preserve"> </w:t>
      </w:r>
    </w:p>
    <w:p w:rsidR="00071B02" w:rsidRDefault="008F460B">
      <w:pPr>
        <w:numPr>
          <w:ilvl w:val="0"/>
          <w:numId w:val="4"/>
        </w:numPr>
        <w:spacing w:after="28"/>
        <w:ind w:right="76" w:hanging="360"/>
      </w:pPr>
      <w:r>
        <w:t>prispieva k štrukturálnemu nesúladu medzi vzdelávaním a dopytom na trhu práce (odkladaním rozhodnutia o profesionálnej orientácii žiakov a zmenšovaním vstupnej kohorty pre stredné odborné školstvo)</w:t>
      </w:r>
      <w:r>
        <w:rPr>
          <w:b/>
        </w:rPr>
        <w:t xml:space="preserve"> </w:t>
      </w:r>
    </w:p>
    <w:p w:rsidR="00071B02" w:rsidRDefault="008F460B">
      <w:pPr>
        <w:numPr>
          <w:ilvl w:val="0"/>
          <w:numId w:val="4"/>
        </w:numPr>
        <w:ind w:right="76" w:hanging="360"/>
      </w:pPr>
      <w:r>
        <w:t>narúša poskytovanie jadrového kurikula (napríklad pri porovnaní vzdelávania žiakov, ktorí odídu na bilingválne gymnáziá po 8. ročníku základnej školy a žiakov, ktorí absolvujú 9. ročník základnej školy</w:t>
      </w:r>
      <w:r>
        <w:rPr>
          <w:b/>
        </w:rPr>
        <w:t xml:space="preserve">). </w:t>
      </w:r>
    </w:p>
    <w:p w:rsidR="00071B02" w:rsidRDefault="008F460B">
      <w:r>
        <w:t xml:space="preserve">S cieľom odstránenia uvedených prejavov sa </w:t>
      </w:r>
      <w:r>
        <w:rPr>
          <w:b/>
        </w:rPr>
        <w:t>NPRVV za</w:t>
      </w:r>
      <w:r>
        <w:rPr>
          <w:b/>
        </w:rPr>
        <w:t xml:space="preserve">meriava na postupné zladenie slovenského vzdelávacieho systému s jedným zo štandardných európskych vzdelávacích modelov, a to s jednoštruktúrovým modelom, ktorý je slovenskému systému najbližší. </w:t>
      </w:r>
      <w:r>
        <w:t>Uvedený postup má oporu aj v ustanoveniach platnej legislatív</w:t>
      </w:r>
      <w:r>
        <w:t>y, najmä v princípe výchovy a vzdelávania definovaného v § 3 písm. l) školského zákona ako „</w:t>
      </w:r>
      <w:r>
        <w:rPr>
          <w:i/>
        </w:rPr>
        <w:t xml:space="preserve">integrácia výchovnovzdelávacej </w:t>
      </w:r>
      <w:r>
        <w:rPr>
          <w:i/>
        </w:rPr>
        <w:lastRenderedPageBreak/>
        <w:t xml:space="preserve">sústavy Slovenskej republiky do európskeho vzdelávacieho priestoru so zreteľom na vlastné skúsenosti a tradície“. </w:t>
      </w:r>
      <w:r>
        <w:t>V rámci vlastných s</w:t>
      </w:r>
      <w:r>
        <w:t>kúseností a tradícií je nespochybniteľné, že slovenský vzdelávací systém pred rokom 1989 bol a po roku 1989 naďalej zostal jednoštruktúrovým modelom, nakoľko prevažná väčšina žiakov absolvuje primárne vzdelávanie (ISCED 1) a nižšie sekundárne vzdelávanie (</w:t>
      </w:r>
      <w:r>
        <w:t xml:space="preserve">ISCED 2) v základných školách. </w:t>
      </w:r>
    </w:p>
    <w:p w:rsidR="00071B02" w:rsidRDefault="008F460B">
      <w:pPr>
        <w:spacing w:after="140"/>
        <w:ind w:right="77"/>
      </w:pPr>
      <w:r>
        <w:t>Efektívnejšia celoplošná (inkluzívna) a systémová vertikálna integrácia je možná v jednoštruktúrovom modeli s jednotným jadrovým kurikulom. Súčasný komplikovaný systém prechodov medzi rôznymi druhmi škôl s rôznymi kurikulami</w:t>
      </w:r>
      <w:r>
        <w:t xml:space="preserve"> počas nižšieho sekundárneho vzdelávania na Slovensku prakticky znemožňuje systematické stimulovanie talentovaných žiakov prostredníctvom vertikálnej integrácie na národnej úrovni. </w:t>
      </w:r>
    </w:p>
    <w:p w:rsidR="00071B02" w:rsidRDefault="008F460B">
      <w:pPr>
        <w:spacing w:after="116" w:line="267" w:lineRule="auto"/>
        <w:ind w:left="-5"/>
      </w:pPr>
      <w:r>
        <w:rPr>
          <w:b/>
        </w:rPr>
        <w:t>S ohľadom na potrebu zvýšiť mieru integrácie a inklúzie slovenského vzdelá</w:t>
      </w:r>
      <w:r>
        <w:rPr>
          <w:b/>
        </w:rPr>
        <w:t>vacieho systému, ktorá bola odôvodnená vyššie slabým postavením Slovenska pri napĺňaní 4 zo 6 cieľov Stratégie Európa 2020, ako aj s ohľadom na potrebu postupného zladenia slovenského vzdelávacieho systému s jedným zo štandardných európskych vzdelávacích m</w:t>
      </w:r>
      <w:r>
        <w:rPr>
          <w:b/>
        </w:rPr>
        <w:t>odelov, a to s jednoštruktúrovým modelom, bol za inšpiratívny model NPRVV vybraný fínsky vzdelávací model, ktorý sa vyznačuje jednoštruktúrovosťou a vysokou mierou integrácie a inklúzie. Fínsky vzdelávací systém zároveň vykazuje dlhodobo popredné umiestnen</w:t>
      </w:r>
      <w:r>
        <w:rPr>
          <w:b/>
        </w:rPr>
        <w:t>ia v medzinárodných testovaniach výsledkov žiakov (napr. PISA), čím je pre slovenský vzdelávací systém osobitne inšpiratívny (nakoľko SR tradične dosahuje slabé umiestnenia v uvedených testovaniach). Inšpirácia fínskym modelom je preto postavená na zákonit</w:t>
      </w:r>
      <w:r>
        <w:rPr>
          <w:b/>
        </w:rPr>
        <w:t xml:space="preserve">ostiach a histórii slovenského vzdelávacieho systému, ako aj cieľmi definovanými v Stratégii Európa 2020. </w:t>
      </w:r>
    </w:p>
    <w:p w:rsidR="00071B02" w:rsidRDefault="008F460B">
      <w:pPr>
        <w:spacing w:after="128"/>
      </w:pPr>
      <w:r>
        <w:t xml:space="preserve">Inšpirácia fínskym vzdelávacím systémom neznamená, že slovenský vzdelávací systém by ho mal kopírovať. Ide o </w:t>
      </w:r>
      <w:r>
        <w:t>sledovanie zásadných princípov smerovania zmien, ako aj o možnosť využívať pri implementácii NPRVV dobré praktiky a nástroje fínskeho systému zamerané na dosiahnutie stanovených cieľov. S cieľom podporiť uvedené procesy bola pri MŠVVŠ SR vytvorená stála pr</w:t>
      </w:r>
      <w:r>
        <w:t xml:space="preserve">acovná skupina (Task Force) fínskych expertov (sekcia 6.1.2), ktorí sa v rámci prípravy NPRVV zapojili do pracovných návštev slovenských expertov vo Fínsku a fínskych expertov na Slovensku v roku 2018. </w:t>
      </w:r>
    </w:p>
    <w:p w:rsidR="00071B02" w:rsidRDefault="008F460B">
      <w:pPr>
        <w:spacing w:after="227"/>
        <w:ind w:right="77"/>
      </w:pPr>
      <w:r>
        <w:t>Z hľadiska charakteristiky dostupnosti (inklúzie) pre</w:t>
      </w:r>
      <w:r>
        <w:t>šlo slovenské školstvo po roku 1989 od pôvodného socialistického rovnostárskeho modelu k segregovanejšiemu modelu charakterizovanému viaczdrojovým financovaním a širším spektrom škôl. Schematické znázornenie vývoja je na Obrázku 2.6.</w:t>
      </w:r>
      <w:r>
        <w:rPr>
          <w:i/>
        </w:rPr>
        <w:t xml:space="preserve"> </w:t>
      </w:r>
    </w:p>
    <w:p w:rsidR="00071B02" w:rsidRDefault="008F460B">
      <w:pPr>
        <w:pStyle w:val="Nadpis2"/>
        <w:ind w:left="-5"/>
      </w:pPr>
      <w:bookmarkStart w:id="14" w:name="_Toc89332"/>
      <w:r>
        <w:t>2. 2. Prostredie a oč</w:t>
      </w:r>
      <w:r>
        <w:t xml:space="preserve">akávaný budúci vývoj </w:t>
      </w:r>
      <w:bookmarkEnd w:id="14"/>
    </w:p>
    <w:p w:rsidR="00071B02" w:rsidRDefault="008F460B">
      <w:pPr>
        <w:spacing w:after="140"/>
      </w:pPr>
      <w:r>
        <w:t xml:space="preserve">NPRVV je založený na dvoch druhoch predpokladov (Obrázok 2.7):  </w:t>
      </w:r>
    </w:p>
    <w:p w:rsidR="00071B02" w:rsidRDefault="008F460B">
      <w:pPr>
        <w:numPr>
          <w:ilvl w:val="0"/>
          <w:numId w:val="5"/>
        </w:numPr>
        <w:ind w:right="41" w:hanging="360"/>
      </w:pPr>
      <w:r>
        <w:rPr>
          <w:b/>
          <w:i/>
        </w:rPr>
        <w:t>kvalitatívne predpoklady</w:t>
      </w:r>
      <w:r>
        <w:t xml:space="preserve"> - predstavujú normatívne predpoklady základnej hodnotovej orientácie budúceho školského systému; </w:t>
      </w:r>
    </w:p>
    <w:p w:rsidR="00071B02" w:rsidRDefault="008F460B">
      <w:pPr>
        <w:numPr>
          <w:ilvl w:val="0"/>
          <w:numId w:val="5"/>
        </w:numPr>
        <w:ind w:right="41" w:hanging="360"/>
      </w:pPr>
      <w:r>
        <w:rPr>
          <w:b/>
          <w:i/>
        </w:rPr>
        <w:lastRenderedPageBreak/>
        <w:t>kvantitatívne predpoklady</w:t>
      </w:r>
      <w:r>
        <w:t xml:space="preserve"> – predstavujú predpo</w:t>
      </w:r>
      <w:r>
        <w:t xml:space="preserve">klady ohľadom dôležitých budúcich socioekonomických parametrov systému, akými sú napríklad demografický vývoj, odhady finančných výdavkov a dopadov na štátny rozpočet a pod. </w:t>
      </w:r>
    </w:p>
    <w:p w:rsidR="00071B02" w:rsidRDefault="008F460B">
      <w:pPr>
        <w:spacing w:after="67" w:line="267" w:lineRule="auto"/>
        <w:ind w:left="-5"/>
      </w:pPr>
      <w:r>
        <w:rPr>
          <w:b/>
        </w:rPr>
        <w:t xml:space="preserve">Obrázok 2.6 Schematické znázornenie vývoja smerovania vzdelávacieho systému </w:t>
      </w:r>
    </w:p>
    <w:p w:rsidR="00071B02" w:rsidRDefault="008F460B">
      <w:pPr>
        <w:spacing w:after="128" w:line="259" w:lineRule="auto"/>
        <w:ind w:left="0" w:right="953" w:firstLine="0"/>
        <w:jc w:val="right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5408" name="Picture 5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" name="Picture 540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71B02" w:rsidRDefault="008F460B">
      <w:pPr>
        <w:spacing w:after="0" w:line="423" w:lineRule="auto"/>
        <w:ind w:left="-5" w:right="832"/>
      </w:pPr>
      <w:r>
        <w:rPr>
          <w:i/>
        </w:rPr>
        <w:t>P</w:t>
      </w:r>
      <w:r>
        <w:rPr>
          <w:i/>
        </w:rPr>
        <w:t xml:space="preserve">ozn.: AP označujú jednotlivé dvojročné Akčné plány NPRVV (AP1 až AP5) </w:t>
      </w:r>
      <w:r>
        <w:rPr>
          <w:b/>
        </w:rPr>
        <w:t>Obrázok 2.7</w:t>
      </w:r>
      <w:r>
        <w:rPr>
          <w:i/>
        </w:rPr>
        <w:t xml:space="preserve"> </w:t>
      </w:r>
    </w:p>
    <w:p w:rsidR="00071B02" w:rsidRDefault="008F460B">
      <w:pPr>
        <w:spacing w:after="209" w:line="259" w:lineRule="auto"/>
        <w:ind w:left="0" w:right="802" w:firstLine="0"/>
        <w:jc w:val="right"/>
      </w:pPr>
      <w:r>
        <w:rPr>
          <w:noProof/>
        </w:rPr>
        <w:drawing>
          <wp:inline distT="0" distB="0" distL="0" distR="0">
            <wp:extent cx="4765929" cy="3574415"/>
            <wp:effectExtent l="0" t="0" r="0" b="0"/>
            <wp:docPr id="5410" name="Picture 5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" name="Picture 541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65929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71B02" w:rsidRDefault="008F460B">
      <w:pPr>
        <w:pStyle w:val="Nadpis3"/>
        <w:spacing w:after="124"/>
        <w:ind w:left="-5"/>
      </w:pPr>
      <w:bookmarkStart w:id="15" w:name="_Toc89333"/>
      <w:r>
        <w:lastRenderedPageBreak/>
        <w:t xml:space="preserve">2.2.1. Kvalitatívne predpoklady NPRVV </w:t>
      </w:r>
      <w:r>
        <w:rPr>
          <w:i/>
        </w:rPr>
        <w:t xml:space="preserve"> </w:t>
      </w:r>
      <w:bookmarkEnd w:id="15"/>
    </w:p>
    <w:p w:rsidR="00071B02" w:rsidRDefault="008F460B">
      <w:pPr>
        <w:ind w:right="80"/>
      </w:pPr>
      <w:r>
        <w:t xml:space="preserve">Kvalitatívne východiská NPRVV predstavujú normatívne predpoklady určujúce smerovanie budúceho systému výchovy a </w:t>
      </w:r>
      <w:r>
        <w:t xml:space="preserve">vzdelávania, ktoré do veľkej miery determinujú možnosť naplnenia cieľov NPRVV.  </w:t>
      </w:r>
    </w:p>
    <w:p w:rsidR="00071B02" w:rsidRDefault="008F460B">
      <w:pPr>
        <w:spacing w:after="170" w:line="268" w:lineRule="auto"/>
        <w:ind w:left="-5" w:right="78"/>
      </w:pPr>
      <w:r>
        <w:rPr>
          <w:i/>
        </w:rPr>
        <w:t>V súlade so zámerom NPRVV vybudovať na Slovensku inkluzívny a integrovaný systém výchovy a vzdelávania je inšpiráciou pre hodnotovú orientáciu systému fínsky model školstva, k</w:t>
      </w:r>
      <w:r>
        <w:rPr>
          <w:i/>
        </w:rPr>
        <w:t xml:space="preserve">torý je odborníkmi považovaný za jeden z najlepších modelov v rámci EÚ i v celosvetovom meradle.  </w:t>
      </w:r>
    </w:p>
    <w:p w:rsidR="00071B02" w:rsidRDefault="008F460B">
      <w:pPr>
        <w:spacing w:after="136"/>
        <w:ind w:right="77"/>
      </w:pPr>
      <w:r>
        <w:t>Fínsky systém dlhodobo dosahuje popredné umiestnenia v rebríčkoch medzinárodného testovania PISA. Základnými hodnotami fínskeho systému sú podpora integrácie</w:t>
      </w:r>
      <w:r>
        <w:t xml:space="preserve"> a inklúzie a rešpektovanie postavenia učiteľa ako najdôležitejšieho prvku vzdelávacieho systému. </w:t>
      </w:r>
    </w:p>
    <w:p w:rsidR="00071B02" w:rsidRDefault="008F460B">
      <w:pPr>
        <w:pStyle w:val="Nadpis4"/>
        <w:ind w:left="-5"/>
      </w:pPr>
      <w:r>
        <w:t xml:space="preserve">Podpora integrácie a inklúzie </w:t>
      </w:r>
    </w:p>
    <w:p w:rsidR="00071B02" w:rsidRDefault="008F460B">
      <w:pPr>
        <w:spacing w:after="142"/>
        <w:ind w:right="77"/>
      </w:pPr>
      <w:r>
        <w:t>Cieľom NPRVV je znížiť úroveň horizontálnej i vertikálnej segregácie systému výchovy a vzdelávania v SR. Horizontálna segregác</w:t>
      </w:r>
      <w:r>
        <w:t xml:space="preserve">ia sa prejavuje napríklad vyčleňovaním talentovaných detí resp. detí z lepších ekonomických a sociálnych pomerov do určitých druhov škôl, resp. nesprávnym zaradením detí zo znevýhodneného sociálneho prostredia do špeciálnych škôl. Vertikálna segregácia sa </w:t>
      </w:r>
      <w:r>
        <w:t>prejavuje oddeľovaním jednotlivých stupňov vzdelania. Základné axiómy fínskeho vzdelávacieho systému sú nasledovné: „Najlepšia škola je najbližšia škola“ a „Každé dieťa má talent“. Každé dieťa by malo mať prístup ku kvalitnému vzdelaniu v bežnej škole v mi</w:t>
      </w:r>
      <w:r>
        <w:t>este svojho bydliska a v rámci nej rozvíjať svoj talent. Podpora talentov by sa mala realizovať napríklad väčšou flexibilitou vzdelávacieho procesu, kvalitnou krúžkovou činnosťou a v neposlednom rade zvýšením priepustnosti medzi stupňami vzdelávania. Posle</w:t>
      </w:r>
      <w:r>
        <w:t>dné je podstatou vertikálnej integrácie, ktorá umožňuje prístup k vyššiemu stupňu vzdelávania, napríklad formou nultých ročníkov ZŠ, čiastkovej účasti žiakov SŚ na vysokoškolskom vzdelávaní a pod. K vertikálnej integrácii môže prispieť aj zriaďovanie spoje</w:t>
      </w:r>
      <w:r>
        <w:t xml:space="preserve">ných škôl, prepojenie stredoškolských a vysokoškolských areálov a pod. </w:t>
      </w:r>
    </w:p>
    <w:p w:rsidR="00071B02" w:rsidRDefault="008F460B">
      <w:pPr>
        <w:pStyle w:val="Nadpis4"/>
        <w:spacing w:after="132"/>
        <w:ind w:left="-5"/>
      </w:pPr>
      <w:r>
        <w:t xml:space="preserve">Postavenie učiteľa ako centrálneho prvku rozvoja systému výchovy a vzdelávania  </w:t>
      </w:r>
    </w:p>
    <w:p w:rsidR="00071B02" w:rsidRDefault="008F460B">
      <w:pPr>
        <w:spacing w:after="213"/>
        <w:ind w:right="80"/>
      </w:pPr>
      <w:r>
        <w:t>Úlohou učiteľa je formovanie mladej generácie ako budúceho faktora rozvoja Slovenska. Učitelia musia ži</w:t>
      </w:r>
      <w:r>
        <w:t>akom a študentom vštepovať vedomosti, ale aj hodnotovú orientáciu, ako postoje, kompetencie a návyky, ktoré im umožnia prosperovať v rýchlo sa meniacich podmienkach súčasného sveta a v prostredí, ktoré vyžaduje komplexné rozhodovanie. Učiteľ by mal byť spo</w:t>
      </w:r>
      <w:r>
        <w:t xml:space="preserve">ločnosťou cenený ako základný faktor rozvoja spoločnosti. Cieľom reformy je nielen dosiahnuť dôstojné ohodnotenie práce učiteľa, ale zlepšiť celkové podmienky výkonu učiteľského povolania, pozdvihnúť jeho prestíž a zvýšiť celospoločenský kredit učiteľov a </w:t>
      </w:r>
      <w:r>
        <w:t>úctu voči povolaniu učiteľa. Dosiahnutie uvedených cieľov bude dlhodobým procesom, ktorý musí zahŕňať viacero opatrení, akými sú napríklad zvýšenie štandardov prípravy a vzdelávania budúcich pedagógov, zlepšenie systému ich celoživotného vzdelávania, zvýše</w:t>
      </w:r>
      <w:r>
        <w:t xml:space="preserve">nie platového ohodnotenia učiteľov, zvýšenie autonómie učiteľov vo vzdelávacom procese, kampane na podporu zmeny zmýšľania slovenskej spoločnosti a zaužívanej praxe vzťahov medzi žiakmi, učiteľmi a rodičmi.  </w:t>
      </w:r>
    </w:p>
    <w:p w:rsidR="00071B02" w:rsidRDefault="008F460B">
      <w:pPr>
        <w:pStyle w:val="Nadpis3"/>
        <w:spacing w:after="124"/>
        <w:ind w:left="-5"/>
      </w:pPr>
      <w:bookmarkStart w:id="16" w:name="_Toc89334"/>
      <w:r>
        <w:lastRenderedPageBreak/>
        <w:t xml:space="preserve">2.2.2. Kvantitatívne predpoklady NPRVV </w:t>
      </w:r>
      <w:bookmarkEnd w:id="16"/>
    </w:p>
    <w:p w:rsidR="00071B02" w:rsidRDefault="008F460B">
      <w:pPr>
        <w:ind w:right="78"/>
      </w:pPr>
      <w:r>
        <w:t>Kvantit</w:t>
      </w:r>
      <w:r>
        <w:t xml:space="preserve">atívne predpoklady NPRVV zahŕňajú prognózy a scenáre budúceho vývoja základných socioekonomických veličín, ktoré budú určovať kapacitné, štrukturálne a finančné parametre budúceho systému výchovy a vzdelávania.  </w:t>
      </w:r>
    </w:p>
    <w:p w:rsidR="00071B02" w:rsidRDefault="008F460B">
      <w:pPr>
        <w:pStyle w:val="Nadpis4"/>
        <w:ind w:left="-5"/>
      </w:pPr>
      <w:r>
        <w:t xml:space="preserve">Budúci demografický vývoj Slovenska </w:t>
      </w:r>
    </w:p>
    <w:p w:rsidR="00071B02" w:rsidRDefault="008F460B">
      <w:pPr>
        <w:spacing w:after="132"/>
        <w:ind w:right="77"/>
      </w:pPr>
      <w:r>
        <w:t>Pomery</w:t>
      </w:r>
      <w:r>
        <w:t xml:space="preserve"> v systéme výchovy a vzdelávania do veľkej miery závisia od vývoja vekovej štruktúry obyvateľstva. Preto žiadna dlhodobejšia vízia a stratégia vývoja školstva nemôže opomenúť demografické prognózy. NPRVV využíva prognózy vývoja obyvateľstva SR v členení po</w:t>
      </w:r>
      <w:r>
        <w:t>dľa vekových skupín a podľa okresov, ktoré boli vypracované na základe ostatného sčítania obyvateľstva, domov a bytov z roku 2011 a aktualizované na bázický rok 2015 autormi z Prognostického ústavu SAV, Infostatu a Výskumného demografického centra Štatisti</w:t>
      </w:r>
      <w:r>
        <w:t xml:space="preserve">ckého úradu SR a Katedry humánnej geografie Prírodovedeckej fakulty Univerzity Komenského. </w:t>
      </w:r>
    </w:p>
    <w:p w:rsidR="00071B02" w:rsidRDefault="008F460B">
      <w:pPr>
        <w:spacing w:after="162" w:line="267" w:lineRule="auto"/>
        <w:ind w:left="-5"/>
      </w:pPr>
      <w:r>
        <w:t>Obrázok 2.8 znázorňuje prognózu populačných trendov na Slovensku do roku 2035. Z prognózy je zjavné, že podiel počtu žien v plodnom veku a počet narodených detí bud</w:t>
      </w:r>
      <w:r>
        <w:t>e mať v uvedenom období klesajúci trend. Počet narodených detí sa do roku 2035 dostane na bezprecedentne nízku úroveň okolo 45 tisíc (stredný scenár vývoja).</w:t>
      </w:r>
      <w:r>
        <w:rPr>
          <w:b/>
        </w:rPr>
        <w:t>V strednodobom hľadisku sa slovenský vzdelávací systém bude musieť vysporiadať s absolútnymi pokles</w:t>
      </w:r>
      <w:r>
        <w:rPr>
          <w:b/>
        </w:rPr>
        <w:t>mi žiakov a študentov. Uvedený pokles sa na miestnej úrovni premietne do zvýšeného počtu obcí, ktoré budú poskytovanie vzdelávania riešiť spoločnými školskými obvodmi. S tým bude súvisieť potreba riešiť dochádzanie žiakov do školy mimo svojej obce z hľadis</w:t>
      </w:r>
      <w:r>
        <w:rPr>
          <w:b/>
        </w:rPr>
        <w:t>ka dopravného, časového, aj národnostného a s tým spojená zvýšená koordinácia zriaďovateľov, akými sú napr. mestá a obce ako nositelia originálnych kompetencií v regionálnom školstve.</w:t>
      </w:r>
      <w:r>
        <w:t xml:space="preserve">  Z hľadiska plánovanie siete škôl je dôležité aj priestorové rozmiestnen</w:t>
      </w:r>
      <w:r>
        <w:t xml:space="preserve">ie obyvateľstva. Obrázok 2.9 znázorňuje vývoj podielu žien v reprodukčnom veku a podielu detí do 15 rokov v rokoch 2015 a 2035 podľa okresov SR. Oba obrázky ilustrujú pokles uvedených podielov v západných a južných okresoch a relatívne vyššiu koncentráciu </w:t>
      </w:r>
      <w:r>
        <w:t xml:space="preserve">v severných a východných okresoch SR. S uvedenými pomermi súvisí </w:t>
      </w:r>
      <w:r>
        <w:rPr>
          <w:b/>
        </w:rPr>
        <w:t>potreba zameriavať kapacitnú podporu školskej siete vo forme výstavby škôl prioritne do severnej a východnej časti Slovenska a do zázemia veľkých miest</w:t>
      </w:r>
      <w:r>
        <w:t>.</w:t>
      </w:r>
      <w:r>
        <w:rPr>
          <w:b/>
        </w:rPr>
        <w:t xml:space="preserve"> Nestálosť demografických pomerov odôvo</w:t>
      </w:r>
      <w:r>
        <w:rPr>
          <w:b/>
        </w:rPr>
        <w:t>dňuje dôraz na stavby modulových škôl</w:t>
      </w:r>
      <w:r>
        <w:t xml:space="preserve">. </w:t>
      </w:r>
    </w:p>
    <w:p w:rsidR="00071B02" w:rsidRDefault="008F460B">
      <w:pPr>
        <w:spacing w:after="88"/>
        <w:ind w:right="78"/>
      </w:pPr>
      <w:r>
        <w:t>Z demografického hľadiska bude dôležitou veličinou vzdelávacieho systému aj vývoj a podiel žiakov a študentov z marginalizovaných rómskych komunít. Demografická prognóza naznačuje, že počet Rómov na Slovensku vzrasti</w:t>
      </w:r>
      <w:r>
        <w:t>e do roku 2030 na približne 590 tisíc osôb.</w:t>
      </w:r>
      <w:r>
        <w:rPr>
          <w:vertAlign w:val="superscript"/>
        </w:rPr>
        <w:footnoteReference w:id="7"/>
      </w:r>
      <w:r>
        <w:t xml:space="preserve"> Uvedené naznačuje, že integrácia žiakov a študentov z marginalizovaných rómskych komunít bude prioritnou úlohou NPRVV s predstavuje osobitnú prierezovú prioritu programu. 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071B02" w:rsidRDefault="008F460B">
      <w:pPr>
        <w:spacing w:after="0" w:line="320" w:lineRule="auto"/>
        <w:ind w:left="-5"/>
      </w:pPr>
      <w:r>
        <w:rPr>
          <w:b/>
        </w:rPr>
        <w:t xml:space="preserve">Obrázok 2.8 </w:t>
      </w:r>
      <w:r>
        <w:rPr>
          <w:b/>
        </w:rPr>
        <w:t xml:space="preserve">Populačné trendy na Slovensku: Počet žien v reprodukčnom veku, počet narodených detí a scenáre vývoja počtu narodených detí </w:t>
      </w:r>
    </w:p>
    <w:p w:rsidR="00071B02" w:rsidRDefault="008F460B">
      <w:pPr>
        <w:spacing w:after="225" w:line="259" w:lineRule="auto"/>
        <w:ind w:left="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10200" cy="7922514"/>
                <wp:effectExtent l="0" t="0" r="0" b="0"/>
                <wp:docPr id="79363" name="Group 79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7922514"/>
                          <a:chOff x="0" y="0"/>
                          <a:chExt cx="5410200" cy="7922514"/>
                        </a:xfrm>
                      </wpg:grpSpPr>
                      <pic:pic xmlns:pic="http://schemas.openxmlformats.org/drawingml/2006/picture">
                        <pic:nvPicPr>
                          <pic:cNvPr id="5758" name="Picture 575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392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0" name="Picture 576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6789"/>
                            <a:ext cx="5410200" cy="3895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363" style="width:426pt;height:623.82pt;mso-position-horizontal-relative:char;mso-position-vertical-relative:line" coordsize="54102,79225">
                <v:shape id="Picture 5758" style="position:absolute;width:54102;height:39243;left:0;top:0;" filled="f">
                  <v:imagedata r:id="rId87"/>
                </v:shape>
                <v:shape id="Picture 5760" style="position:absolute;width:54102;height:38957;left:0;top:40267;" filled="f">
                  <v:imagedata r:id="rId88"/>
                </v:shape>
              </v:group>
            </w:pict>
          </mc:Fallback>
        </mc:AlternateContent>
      </w:r>
    </w:p>
    <w:p w:rsidR="00071B02" w:rsidRDefault="008F460B">
      <w:pPr>
        <w:spacing w:after="170" w:line="268" w:lineRule="auto"/>
        <w:ind w:left="-5"/>
      </w:pPr>
      <w:r>
        <w:rPr>
          <w:i/>
        </w:rPr>
        <w:t>Zdroj: B. Šprocha, B. Vaňo - Ako bude vyzerať Slovensko v roku 2020 a 2035</w:t>
      </w:r>
    </w:p>
    <w:p w:rsidR="00071B02" w:rsidRDefault="00071B02">
      <w:pPr>
        <w:sectPr w:rsidR="00071B02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1906" w:h="16838"/>
          <w:pgMar w:top="713" w:right="1340" w:bottom="1421" w:left="1416" w:header="708" w:footer="712" w:gutter="0"/>
          <w:cols w:space="708"/>
        </w:sectPr>
      </w:pPr>
    </w:p>
    <w:p w:rsidR="00071B02" w:rsidRDefault="008F460B">
      <w:pPr>
        <w:tabs>
          <w:tab w:val="center" w:pos="10679"/>
        </w:tabs>
        <w:spacing w:after="67" w:line="267" w:lineRule="auto"/>
        <w:ind w:left="-15" w:firstLine="0"/>
        <w:jc w:val="left"/>
      </w:pPr>
      <w:r>
        <w:rPr>
          <w:b/>
        </w:rPr>
        <w:lastRenderedPageBreak/>
        <w:t xml:space="preserve">Obrázok 2.9  </w:t>
      </w:r>
      <w:r>
        <w:rPr>
          <w:b/>
        </w:rPr>
        <w:tab/>
        <w:t xml:space="preserve"> </w:t>
      </w:r>
    </w:p>
    <w:p w:rsidR="00071B02" w:rsidRDefault="008F460B">
      <w:pPr>
        <w:tabs>
          <w:tab w:val="center" w:pos="10679"/>
        </w:tabs>
        <w:spacing w:after="67" w:line="267" w:lineRule="auto"/>
        <w:ind w:left="-15" w:firstLine="0"/>
        <w:jc w:val="left"/>
      </w:pPr>
      <w:r>
        <w:rPr>
          <w:b/>
        </w:rPr>
        <w:t xml:space="preserve">Podiel žien v reprodukčnom veku </w:t>
      </w:r>
      <w:r>
        <w:rPr>
          <w:b/>
        </w:rPr>
        <w:tab/>
        <w:t xml:space="preserve"> </w:t>
      </w:r>
    </w:p>
    <w:p w:rsidR="00071B02" w:rsidRDefault="008F460B">
      <w:pPr>
        <w:tabs>
          <w:tab w:val="center" w:pos="10677"/>
        </w:tabs>
        <w:spacing w:after="18" w:line="267" w:lineRule="auto"/>
        <w:ind w:left="-15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Podiel detí vo veku do 15 rokov </w:t>
      </w:r>
    </w:p>
    <w:p w:rsidR="00071B02" w:rsidRDefault="008F460B">
      <w:pPr>
        <w:spacing w:after="0" w:line="259" w:lineRule="auto"/>
        <w:ind w:left="23" w:firstLine="0"/>
        <w:jc w:val="center"/>
      </w:pPr>
      <w:r>
        <w:rPr>
          <w:b/>
        </w:rPr>
        <w:t xml:space="preserve"> </w:t>
      </w:r>
    </w:p>
    <w:p w:rsidR="00071B02" w:rsidRDefault="008F460B">
      <w:pPr>
        <w:spacing w:after="2658" w:line="265" w:lineRule="auto"/>
        <w:ind w:left="105" w:right="148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14668</wp:posOffset>
            </wp:positionH>
            <wp:positionV relativeFrom="paragraph">
              <wp:posOffset>-175996</wp:posOffset>
            </wp:positionV>
            <wp:extent cx="4181475" cy="2114550"/>
            <wp:effectExtent l="0" t="0" r="0" b="0"/>
            <wp:wrapSquare wrapText="bothSides"/>
            <wp:docPr id="5791" name="Picture 5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" name="Picture 579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4685031</wp:posOffset>
            </wp:positionH>
            <wp:positionV relativeFrom="paragraph">
              <wp:posOffset>25425</wp:posOffset>
            </wp:positionV>
            <wp:extent cx="4181475" cy="1962150"/>
            <wp:effectExtent l="0" t="0" r="0" b="0"/>
            <wp:wrapSquare wrapText="bothSides"/>
            <wp:docPr id="5795" name="Picture 5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" name="Picture 579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2015</w:t>
      </w:r>
      <w:r>
        <w:t xml:space="preserve"> </w:t>
      </w:r>
    </w:p>
    <w:p w:rsidR="00071B02" w:rsidRDefault="008F460B">
      <w:pPr>
        <w:spacing w:after="26" w:line="259" w:lineRule="auto"/>
        <w:ind w:left="23" w:firstLine="0"/>
        <w:jc w:val="right"/>
      </w:pPr>
      <w:r>
        <w:t xml:space="preserve"> </w:t>
      </w:r>
      <w:r>
        <w:rPr>
          <w:b/>
        </w:rPr>
        <w:t xml:space="preserve"> </w:t>
      </w:r>
    </w:p>
    <w:p w:rsidR="00071B02" w:rsidRDefault="008F460B">
      <w:pPr>
        <w:spacing w:after="23" w:line="259" w:lineRule="auto"/>
        <w:ind w:lef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:rsidR="00071B02" w:rsidRDefault="008F460B">
      <w:pPr>
        <w:spacing w:after="0" w:line="265" w:lineRule="auto"/>
        <w:ind w:left="105" w:right="-95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-253</wp:posOffset>
            </wp:positionH>
            <wp:positionV relativeFrom="paragraph">
              <wp:posOffset>1803</wp:posOffset>
            </wp:positionV>
            <wp:extent cx="4219575" cy="2114550"/>
            <wp:effectExtent l="0" t="0" r="0" b="0"/>
            <wp:wrapSquare wrapText="bothSides"/>
            <wp:docPr id="5793" name="Picture 5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" name="Picture 579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4685031</wp:posOffset>
            </wp:positionH>
            <wp:positionV relativeFrom="paragraph">
              <wp:posOffset>252500</wp:posOffset>
            </wp:positionV>
            <wp:extent cx="4181475" cy="2124075"/>
            <wp:effectExtent l="0" t="0" r="0" b="0"/>
            <wp:wrapSquare wrapText="bothSides"/>
            <wp:docPr id="5797" name="Picture 5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" name="Picture 579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2035</w:t>
      </w:r>
      <w:r>
        <w:t xml:space="preserve"> </w:t>
      </w:r>
    </w:p>
    <w:p w:rsidR="00071B02" w:rsidRDefault="008F460B">
      <w:pPr>
        <w:spacing w:after="2731" w:line="259" w:lineRule="auto"/>
        <w:ind w:left="730" w:firstLine="0"/>
        <w:jc w:val="center"/>
      </w:pPr>
      <w:r>
        <w:rPr>
          <w:b/>
        </w:rPr>
        <w:t xml:space="preserve"> </w:t>
      </w:r>
    </w:p>
    <w:p w:rsidR="00071B02" w:rsidRDefault="008F460B">
      <w:pPr>
        <w:spacing w:after="0" w:line="259" w:lineRule="auto"/>
        <w:ind w:left="0" w:right="77" w:firstLine="0"/>
        <w:jc w:val="center"/>
      </w:pPr>
      <w:r>
        <w:t xml:space="preserve"> </w:t>
      </w:r>
    </w:p>
    <w:p w:rsidR="00071B02" w:rsidRDefault="008F460B">
      <w:pPr>
        <w:spacing w:after="0" w:line="268" w:lineRule="auto"/>
        <w:ind w:left="-5" w:right="77"/>
      </w:pPr>
      <w:r>
        <w:rPr>
          <w:i/>
        </w:rPr>
        <w:t xml:space="preserve">Zdroj: Prognóza vývoja obyvateľstva v okresoch SR do roku 2035, </w:t>
      </w:r>
    </w:p>
    <w:p w:rsidR="00071B02" w:rsidRDefault="008F460B">
      <w:pPr>
        <w:spacing w:after="0" w:line="259" w:lineRule="auto"/>
        <w:ind w:left="7378" w:firstLine="0"/>
        <w:jc w:val="right"/>
      </w:pPr>
      <w:r>
        <w:rPr>
          <w:b/>
        </w:rPr>
        <w:t xml:space="preserve"> </w:t>
      </w:r>
    </w:p>
    <w:p w:rsidR="00071B02" w:rsidRDefault="008F460B">
      <w:pPr>
        <w:spacing w:after="261" w:line="268" w:lineRule="auto"/>
        <w:ind w:left="-5" w:right="11687"/>
      </w:pPr>
      <w:r>
        <w:rPr>
          <w:i/>
        </w:rPr>
        <w:t xml:space="preserve">PÚ SAV, Infostat, PF U </w:t>
      </w:r>
      <w:r>
        <w:rPr>
          <w:b/>
        </w:rPr>
        <w:t xml:space="preserve"> </w:t>
      </w:r>
    </w:p>
    <w:p w:rsidR="00071B02" w:rsidRDefault="008F460B">
      <w:pPr>
        <w:spacing w:after="0" w:line="259" w:lineRule="auto"/>
        <w:ind w:right="-10"/>
        <w:jc w:val="right"/>
      </w:pPr>
      <w:r>
        <w:t xml:space="preserve">26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</w:p>
    <w:p w:rsidR="00071B02" w:rsidRDefault="00071B02">
      <w:pPr>
        <w:sectPr w:rsidR="00071B02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6838" w:h="11906" w:orient="landscape"/>
          <w:pgMar w:top="1440" w:right="1380" w:bottom="1440" w:left="1418" w:header="708" w:footer="708" w:gutter="0"/>
          <w:cols w:space="708"/>
        </w:sectPr>
      </w:pPr>
    </w:p>
    <w:p w:rsidR="00071B02" w:rsidRDefault="008F460B">
      <w:pPr>
        <w:pStyle w:val="Nadpis2"/>
        <w:ind w:left="-5"/>
      </w:pPr>
      <w:bookmarkStart w:id="17" w:name="_Toc89335"/>
      <w:r>
        <w:lastRenderedPageBreak/>
        <w:t xml:space="preserve">2. 3. Revízia existujúcich opatrení </w:t>
      </w:r>
      <w:bookmarkEnd w:id="17"/>
    </w:p>
    <w:p w:rsidR="00071B02" w:rsidRDefault="008F460B">
      <w:pPr>
        <w:spacing w:after="102"/>
      </w:pPr>
      <w:r>
        <w:t>NPRVV je živým dokumentom, ktorý bude pravidelne v dvojročných cykloch revidovaný a v prípade potre</w:t>
      </w:r>
      <w:r>
        <w:t xml:space="preserve">by dopĺňaný v závislosti od stavu implementácie.  </w:t>
      </w:r>
    </w:p>
    <w:p w:rsidR="00071B02" w:rsidRDefault="008F460B">
      <w:pPr>
        <w:spacing w:after="128"/>
      </w:pPr>
      <w:r>
        <w:t xml:space="preserve">Pre zachovanie základnej filozofie a koncepcie NPRVV v dlhodobom horizonte je nevyhnutné dodržať nasledovné tri prvky:  </w:t>
      </w:r>
    </w:p>
    <w:p w:rsidR="00071B02" w:rsidRDefault="008F460B">
      <w:pPr>
        <w:numPr>
          <w:ilvl w:val="0"/>
          <w:numId w:val="6"/>
        </w:numPr>
        <w:spacing w:after="144"/>
        <w:ind w:hanging="720"/>
      </w:pPr>
      <w:r>
        <w:t xml:space="preserve">orientácia na zvýšenie inkluzívnosti systému,  </w:t>
      </w:r>
    </w:p>
    <w:p w:rsidR="00071B02" w:rsidRDefault="008F460B">
      <w:pPr>
        <w:numPr>
          <w:ilvl w:val="0"/>
          <w:numId w:val="6"/>
        </w:numPr>
        <w:spacing w:line="421" w:lineRule="auto"/>
        <w:ind w:hanging="720"/>
      </w:pPr>
      <w:r>
        <w:t>(</w:t>
      </w:r>
      <w:r>
        <w:t xml:space="preserve">prechod na čistý jednoštruktúrový model vzdelávania v regionálnom školstve </w:t>
      </w:r>
      <w:r>
        <w:rPr>
          <w:i/>
        </w:rPr>
        <w:t xml:space="preserve"> </w:t>
      </w:r>
      <w:r>
        <w:t>(iii)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celkové dofinancovanie systému.  </w:t>
      </w:r>
    </w:p>
    <w:p w:rsidR="00071B02" w:rsidRDefault="008F460B">
      <w:pPr>
        <w:spacing w:after="88"/>
      </w:pPr>
      <w:r>
        <w:t>Revízia stratégie bude prepojená na revíziu výdavkov štátneho rozpočtu SR, ktorá je pravidelne pripravovaná analytickými útvarmi MŠVVŠ SR a</w:t>
      </w:r>
      <w:r>
        <w:t xml:space="preserve"> MF SR. </w:t>
      </w:r>
    </w:p>
    <w:p w:rsidR="00071B02" w:rsidRDefault="008F460B">
      <w:pPr>
        <w:spacing w:after="9621" w:line="259" w:lineRule="auto"/>
        <w:ind w:left="0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 </w:t>
      </w:r>
    </w:p>
    <w:p w:rsidR="00071B02" w:rsidRDefault="008F460B">
      <w:pPr>
        <w:spacing w:after="0" w:line="259" w:lineRule="auto"/>
        <w:ind w:right="-10"/>
        <w:jc w:val="right"/>
      </w:pPr>
      <w:r>
        <w:lastRenderedPageBreak/>
        <w:t xml:space="preserve">27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</w:p>
    <w:p w:rsidR="00071B02" w:rsidRDefault="008F460B">
      <w:pPr>
        <w:pStyle w:val="Nadpis1"/>
        <w:spacing w:after="226"/>
        <w:ind w:left="-5"/>
      </w:pPr>
      <w:bookmarkStart w:id="18" w:name="_Toc89336"/>
      <w:r>
        <w:t>3. Vízia a základné strategické smerovanie</w:t>
      </w:r>
      <w:r>
        <w:rPr>
          <w:sz w:val="24"/>
        </w:rPr>
        <w:t xml:space="preserve"> </w:t>
      </w:r>
      <w:bookmarkEnd w:id="18"/>
    </w:p>
    <w:p w:rsidR="00071B02" w:rsidRDefault="008F460B">
      <w:pPr>
        <w:pStyle w:val="Nadpis2"/>
        <w:ind w:left="-5"/>
      </w:pPr>
      <w:bookmarkStart w:id="19" w:name="_Toc89337"/>
      <w:r>
        <w:t xml:space="preserve">3. 1. Logika intervencie, hierarchia cieľov stratégie </w:t>
      </w:r>
      <w:bookmarkEnd w:id="19"/>
    </w:p>
    <w:p w:rsidR="00071B02" w:rsidRDefault="008F460B">
      <w:pPr>
        <w:spacing w:after="129"/>
      </w:pPr>
      <w:r>
        <w:t xml:space="preserve">Základný intervenčný rámec NPRVV určuje základné princípy a východiská intervencie, definuje strategické a čiastkové ciele a </w:t>
      </w:r>
      <w:r>
        <w:t>určuje opatrenia zamerané na ich dosiahnutie. Správa o stave školstva definuje pomerne široké a detailné strategické ciele pre úroveň regionálneho a vysokého školstva a dopĺňa ich čiastkovými cieľmi. Dokument „Učiace sa Slovensko“ prevzal strategické ciele</w:t>
      </w:r>
      <w:r>
        <w:t xml:space="preserve"> zo Správy o stave školstva, čiastkové ciele súhrnne nedefinuje, prechádza ku opatreniam v rámci tematických kapitol (Tabuľka 3.1). </w:t>
      </w:r>
    </w:p>
    <w:p w:rsidR="00071B02" w:rsidRDefault="008F460B">
      <w:pPr>
        <w:spacing w:after="127"/>
      </w:pPr>
      <w:r>
        <w:t>NPRVV vychádza z predpokladu, že strategické ciele je potrebné definovať stručne na vysokej úrovni zovšeobecnenia s ohľadom</w:t>
      </w:r>
      <w:r>
        <w:t xml:space="preserve"> na základné hodnoty resp. výsledky, ktoré je potrebné dosiahnuť v časovom horizonte implementácie programu: kvalita, dostupnosť, modernizácia. Po analýze základných dokumentov boli strategické ciele NPRVV zadefinované na všeobecnej úrovni jednotne pre sys</w:t>
      </w:r>
      <w:r>
        <w:t xml:space="preserve">tém regionálneho i vysokého školstva. Čiastkové ciele boli následne definované pre každý zo systémov osobitne v súlade s vecnou náplňou strategických cieľov v základných dokumentoch. </w:t>
      </w:r>
    </w:p>
    <w:p w:rsidR="00071B02" w:rsidRDefault="008F460B">
      <w:pPr>
        <w:spacing w:after="126"/>
      </w:pPr>
      <w:r>
        <w:t xml:space="preserve">NPRVV má tri strategické ciele, 12 konkrétnych cieľov (6 pre regionálne </w:t>
      </w:r>
      <w:r>
        <w:t>školstvo a 6 pre vysoké školstvo) a 106 opatrení. (Obrázok 3.1). Opatrenia sú rozpracované do Implementačného plánu, ktorý pozostáva z piatich dvojročných na seba nadväzujúcich akčných plánov. Implementačný plán NPRVV, ktorý sa vzťahuje na desaťročné obdob</w:t>
      </w:r>
      <w:r>
        <w:t xml:space="preserve">ie 2018-2027, sa delí na päť dvojročných akčných plánov (AP). Prvý akčný plán (AP 1) na obdobie 2018-2019 a druhý akčný plán 2 (AP 2) na obdobie 2020-2021 obsahujú aj opatrenia zahrnuté v PVV.  </w:t>
      </w:r>
    </w:p>
    <w:p w:rsidR="00071B02" w:rsidRDefault="008F460B">
      <w:pPr>
        <w:spacing w:after="124"/>
      </w:pPr>
      <w:r>
        <w:t>NPRVV venuje osobitnú pozornosť trom prierezovým témam (Obráz</w:t>
      </w:r>
      <w:r>
        <w:t>ok 3.2). Tieto zachytávajú dôležité celospoločenské výzvy v oblasti výchovy a vzdelávania, ktoré je potrebné riešiť komplexným spôsobom, a to kombináciou opatrení z rôznych častí Implementačného plánu. Ku každej prierezovej priorite bude pripravená osobitn</w:t>
      </w:r>
      <w:r>
        <w:t xml:space="preserve">á cestná mapa, ktorá ďalej znázorní, akým spôsobom sa dosiahne synergia rôznych opatrení v záujme efektívneho pôsobenia v oblasti danej priority. </w:t>
      </w:r>
    </w:p>
    <w:p w:rsidR="00071B02" w:rsidRDefault="008F460B">
      <w:pPr>
        <w:spacing w:after="84"/>
      </w:pPr>
      <w:r>
        <w:t>Opatrenia v implementačnom pláne sú zamerané na naplnenie konkrétnych cieľov. Mechanizmy pôsobenia opatrení s</w:t>
      </w:r>
      <w:r>
        <w:t>ú komplexne prepojené a často prispievajú k naplneniu viacerých cieľov súčasne. Prepojenie opatrení s konkrétnymi cieľmi je popísané v časti 4.2. V tejto časti venovanej intervenčnej logike uvádzame vybrané príklady intervenčnej logiky v oblasti primárneho</w:t>
      </w:r>
      <w:r>
        <w:t xml:space="preserve"> a terciárneho vzdelávania – Obrázok 3.3 a Obrázok 3.4.  </w:t>
      </w:r>
    </w:p>
    <w:p w:rsidR="00071B02" w:rsidRDefault="008F460B">
      <w:pPr>
        <w:spacing w:after="2389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071B02" w:rsidRDefault="008F460B">
      <w:pPr>
        <w:spacing w:after="0" w:line="259" w:lineRule="auto"/>
        <w:ind w:right="-10"/>
        <w:jc w:val="right"/>
      </w:pPr>
      <w:r>
        <w:lastRenderedPageBreak/>
        <w:t xml:space="preserve">28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</w:p>
    <w:p w:rsidR="00071B02" w:rsidRDefault="00071B02">
      <w:pPr>
        <w:sectPr w:rsidR="00071B02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1906" w:h="16838"/>
          <w:pgMar w:top="1487" w:right="1412" w:bottom="714" w:left="1419" w:header="708" w:footer="708" w:gutter="0"/>
          <w:cols w:space="708"/>
        </w:sectPr>
      </w:pPr>
    </w:p>
    <w:tbl>
      <w:tblPr>
        <w:tblStyle w:val="TableGrid"/>
        <w:tblW w:w="14848" w:type="dxa"/>
        <w:tblInd w:w="-424" w:type="dxa"/>
        <w:tblCellMar>
          <w:top w:w="13" w:type="dxa"/>
          <w:left w:w="107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292"/>
        <w:gridCol w:w="5480"/>
        <w:gridCol w:w="8076"/>
      </w:tblGrid>
      <w:tr w:rsidR="00071B02">
        <w:trPr>
          <w:trHeight w:val="301"/>
        </w:trPr>
        <w:tc>
          <w:tcPr>
            <w:tcW w:w="14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lastRenderedPageBreak/>
              <w:t>Tabuľka 3.1 Prehľad strategických a čiastkových cieľov základných dokumentov</w:t>
            </w:r>
            <w:r>
              <w:rPr>
                <w:b/>
              </w:rPr>
              <w:t xml:space="preserve"> </w:t>
            </w:r>
          </w:p>
        </w:tc>
      </w:tr>
      <w:tr w:rsidR="00071B02">
        <w:trPr>
          <w:trHeight w:val="32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2"/>
              </w:rPr>
              <w:t>Regionálne školstvo</w:t>
            </w:r>
            <w:r>
              <w:rPr>
                <w:b/>
              </w:rPr>
              <w:t xml:space="preserve"> 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>Vysoké školstvo</w:t>
            </w:r>
            <w:r>
              <w:rPr>
                <w:b/>
              </w:rPr>
              <w:t xml:space="preserve"> </w:t>
            </w:r>
          </w:p>
        </w:tc>
      </w:tr>
      <w:tr w:rsidR="00071B02">
        <w:trPr>
          <w:trHeight w:val="300"/>
        </w:trPr>
        <w:tc>
          <w:tcPr>
            <w:tcW w:w="14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71B02" w:rsidRDefault="008F460B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>Správa o stave školstva</w:t>
            </w:r>
            <w:r>
              <w:t xml:space="preserve"> </w:t>
            </w:r>
          </w:p>
        </w:tc>
      </w:tr>
      <w:tr w:rsidR="00071B02">
        <w:trPr>
          <w:trHeight w:val="204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Strategický cieľ</w:t>
            </w:r>
            <w:r>
              <w:rPr>
                <w:b/>
              </w:rPr>
              <w:t xml:space="preserve"> </w:t>
            </w:r>
          </w:p>
        </w:tc>
        <w:tc>
          <w:tcPr>
            <w:tcW w:w="5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57" w:firstLine="0"/>
            </w:pPr>
            <w:r>
              <w:rPr>
                <w:sz w:val="22"/>
              </w:rPr>
              <w:t>Dostatočne financované a efektívne fungujúce regionálne školstvo zabezpečujúce kvalitnú výchovu a vzdelávanie, reagujúce na aktuálne i očakávané potreby praxe, dostupné pre všetky vrstvy spoločnosti, poskytujúce deťom a žiakom základ zdravého životného štý</w:t>
            </w:r>
            <w:r>
              <w:rPr>
                <w:sz w:val="22"/>
              </w:rPr>
              <w:t>lu a zabezpečujúce učiteľom postavenie a ohodnotenie zodpovedajúce mimoriadnemu významu ich práce.</w:t>
            </w:r>
            <w:r>
              <w:t xml:space="preserve"> 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>Efektívne fungujúce vysoké školstvo tvoriace súčasť európskeho priestoru vysokoškolského vzdelávania EHEA a európskeho výskumného priestoru ERA, poskytujúce</w:t>
            </w:r>
            <w:r>
              <w:rPr>
                <w:sz w:val="22"/>
              </w:rPr>
              <w:t xml:space="preserve"> vysokoškolské vzdelávanie s kvalitou zodpovedajúcou medzinárodným štandardom, dostupné pre všetkých občanov, ktorí oň prejavia záujem a preukážu predpoklady na jeho úspešné absolvovanie, tvoriace jadro výskumného potenciálu Slovenska v oblasti základného </w:t>
            </w:r>
            <w:r>
              <w:rPr>
                <w:sz w:val="22"/>
              </w:rPr>
              <w:t>výskumu a v oblasti aplikovaného výskumu a vývoja a motor rozvoja spoločnosti a regiónov Slovenska.</w:t>
            </w:r>
            <w:r>
              <w:t xml:space="preserve"> </w:t>
            </w:r>
          </w:p>
        </w:tc>
      </w:tr>
      <w:tr w:rsidR="00071B02">
        <w:trPr>
          <w:trHeight w:val="3792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71B02" w:rsidRDefault="008F460B">
            <w:pPr>
              <w:spacing w:after="29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Čiastkové </w:t>
            </w:r>
          </w:p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ciele</w:t>
            </w:r>
            <w:r>
              <w:rPr>
                <w:b/>
              </w:rPr>
              <w:t xml:space="preserve"> </w:t>
            </w:r>
          </w:p>
        </w:tc>
        <w:tc>
          <w:tcPr>
            <w:tcW w:w="5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numPr>
                <w:ilvl w:val="0"/>
                <w:numId w:val="27"/>
              </w:numPr>
              <w:spacing w:after="0" w:line="302" w:lineRule="auto"/>
              <w:ind w:firstLine="0"/>
              <w:jc w:val="left"/>
            </w:pPr>
            <w:r>
              <w:rPr>
                <w:sz w:val="22"/>
              </w:rPr>
              <w:t>Dostatočne financované a efektívne fungujúce školstvo systémovo podporujúce kvalitu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7"/>
              </w:numPr>
              <w:spacing w:after="0" w:line="303" w:lineRule="auto"/>
              <w:ind w:firstLine="0"/>
              <w:jc w:val="left"/>
            </w:pPr>
            <w:r>
              <w:rPr>
                <w:sz w:val="22"/>
              </w:rPr>
              <w:t xml:space="preserve">Kvalitný, spoločensky rešpektovaný a </w:t>
            </w:r>
            <w:r>
              <w:rPr>
                <w:sz w:val="22"/>
              </w:rPr>
              <w:t xml:space="preserve">primerane odmeňovaný učiteľ 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7"/>
              </w:numPr>
              <w:spacing w:after="33" w:line="259" w:lineRule="auto"/>
              <w:ind w:firstLine="0"/>
              <w:jc w:val="left"/>
            </w:pPr>
            <w:r>
              <w:rPr>
                <w:sz w:val="22"/>
              </w:rPr>
              <w:t>Kvalitná výchova a vzdelávanie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7"/>
              </w:numPr>
              <w:spacing w:after="0" w:line="301" w:lineRule="auto"/>
              <w:ind w:firstLine="0"/>
              <w:jc w:val="left"/>
            </w:pPr>
            <w:r>
              <w:rPr>
                <w:sz w:val="22"/>
              </w:rPr>
              <w:t>Kvalitné odborné vzdelávanie a príprava reagujúce na aktuálne a očakávané potreby praxe</w:t>
            </w:r>
            <w:r>
              <w:t xml:space="preserve"> </w:t>
            </w:r>
            <w:r>
              <w:rPr>
                <w:sz w:val="22"/>
              </w:rPr>
              <w:t>5.      Školstvo dostupné pre všetkých</w:t>
            </w:r>
            <w:r>
              <w:t xml:space="preserve"> </w:t>
            </w:r>
          </w:p>
          <w:p w:rsidR="00071B02" w:rsidRDefault="008F460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6.      </w:t>
            </w:r>
            <w:r>
              <w:rPr>
                <w:sz w:val="22"/>
              </w:rPr>
              <w:t>Školstvo poskytujúce deťom a žiakom základ zdravého životného štýlu</w:t>
            </w:r>
            <w:r>
              <w:t xml:space="preserve"> 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numPr>
                <w:ilvl w:val="0"/>
                <w:numId w:val="28"/>
              </w:numPr>
              <w:spacing w:after="0" w:line="302" w:lineRule="auto"/>
              <w:ind w:firstLine="0"/>
            </w:pPr>
            <w:r>
              <w:rPr>
                <w:sz w:val="22"/>
              </w:rPr>
              <w:t>Dostatočne financované a efektívne fungujúce vysoké školstvo systémovo podporujúce kvalitu plnenia poslania vysokých škôl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8"/>
              </w:numPr>
              <w:spacing w:after="0" w:line="303" w:lineRule="auto"/>
              <w:ind w:firstLine="0"/>
            </w:pPr>
            <w:r>
              <w:rPr>
                <w:sz w:val="22"/>
              </w:rPr>
              <w:t>Kvalitný, spoločensky rešpektovaný a primerane odmeňovaný vysoko</w:t>
            </w:r>
            <w:r>
              <w:rPr>
                <w:sz w:val="22"/>
              </w:rPr>
              <w:t xml:space="preserve">školský učiteľ a výskumný pracovník 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8"/>
              </w:numPr>
              <w:spacing w:after="0" w:line="298" w:lineRule="auto"/>
              <w:ind w:firstLine="0"/>
            </w:pPr>
            <w:r>
              <w:rPr>
                <w:sz w:val="22"/>
              </w:rPr>
              <w:t xml:space="preserve">Vysoké školstvo poskytujúce vzdelávanie spĺňajúce medzinárodné štandardy a tvoriace súčasť európskeho priestoru vysokoškolského vzdelávania </w:t>
            </w:r>
            <w:hyperlink r:id="rId111">
              <w:r>
                <w:rPr>
                  <w:sz w:val="22"/>
                </w:rPr>
                <w:t>EHEA</w:t>
              </w:r>
            </w:hyperlink>
            <w:hyperlink r:id="rId112">
              <w:r>
                <w:rPr>
                  <w:sz w:val="22"/>
                </w:rPr>
                <w:t xml:space="preserve"> </w:t>
              </w:r>
            </w:hyperlink>
            <w:r>
              <w:t xml:space="preserve"> </w:t>
            </w:r>
          </w:p>
          <w:p w:rsidR="00071B02" w:rsidRDefault="008F460B">
            <w:pPr>
              <w:numPr>
                <w:ilvl w:val="0"/>
                <w:numId w:val="28"/>
              </w:numPr>
              <w:spacing w:after="0" w:line="301" w:lineRule="auto"/>
              <w:ind w:firstLine="0"/>
            </w:pPr>
            <w:r>
              <w:rPr>
                <w:sz w:val="22"/>
              </w:rPr>
              <w:t>Vysoké školstvo dostupné pre všetkých občanov, ktorí oň prejavia záujem a preukážu predpoklady na jeho úspešné absolvovanie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8"/>
              </w:numPr>
              <w:spacing w:after="0" w:line="304" w:lineRule="auto"/>
              <w:ind w:firstLine="0"/>
            </w:pPr>
            <w:r>
              <w:rPr>
                <w:sz w:val="22"/>
              </w:rPr>
              <w:t xml:space="preserve">Vysoké školstvo tvoriace jadro výskumného potenciálu Slovenska v oblasti základného výskumu a v </w:t>
            </w:r>
            <w:r>
              <w:rPr>
                <w:sz w:val="22"/>
              </w:rPr>
              <w:t xml:space="preserve">oblasti aplikovaného výskumu a súčasť európskeho výskumného priestoru </w:t>
            </w:r>
            <w:hyperlink r:id="rId113">
              <w:r>
                <w:rPr>
                  <w:sz w:val="22"/>
                </w:rPr>
                <w:t>ERA</w:t>
              </w:r>
            </w:hyperlink>
            <w:hyperlink r:id="rId114">
              <w:r>
                <w:t xml:space="preserve"> </w:t>
              </w:r>
            </w:hyperlink>
          </w:p>
          <w:p w:rsidR="00071B02" w:rsidRDefault="008F460B">
            <w:pPr>
              <w:numPr>
                <w:ilvl w:val="0"/>
                <w:numId w:val="28"/>
              </w:numPr>
              <w:spacing w:after="0" w:line="259" w:lineRule="auto"/>
              <w:ind w:firstLine="0"/>
            </w:pPr>
            <w:r>
              <w:rPr>
                <w:sz w:val="22"/>
              </w:rPr>
              <w:t>V</w:t>
            </w:r>
            <w:r>
              <w:rPr>
                <w:sz w:val="22"/>
              </w:rPr>
              <w:t>ysoké školstvo reagujúce na aktuálne a očakávané potreby spoločenskej a hospodárskej praxe a predstavujúce motor rozvoja spoločnosti a regiónov Slovenska</w:t>
            </w:r>
            <w:r>
              <w:t xml:space="preserve"> </w:t>
            </w:r>
          </w:p>
        </w:tc>
      </w:tr>
      <w:tr w:rsidR="00071B02">
        <w:trPr>
          <w:trHeight w:val="300"/>
        </w:trPr>
        <w:tc>
          <w:tcPr>
            <w:tcW w:w="14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71B02" w:rsidRDefault="008F460B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>Učiace sa Slovensko</w:t>
            </w:r>
            <w:r>
              <w:t xml:space="preserve"> </w:t>
            </w:r>
          </w:p>
        </w:tc>
      </w:tr>
      <w:tr w:rsidR="00071B02">
        <w:trPr>
          <w:trHeight w:val="1756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71B02" w:rsidRDefault="008F460B">
            <w:pPr>
              <w:spacing w:after="0" w:line="301" w:lineRule="auto"/>
              <w:ind w:left="0" w:firstLine="0"/>
              <w:jc w:val="left"/>
            </w:pPr>
            <w:r>
              <w:rPr>
                <w:b/>
                <w:sz w:val="22"/>
              </w:rPr>
              <w:lastRenderedPageBreak/>
              <w:t>Strategický cieľ</w:t>
            </w:r>
            <w:r>
              <w:rPr>
                <w:b/>
              </w:rPr>
              <w:t xml:space="preserve"> </w:t>
            </w:r>
          </w:p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57" w:firstLine="0"/>
            </w:pPr>
            <w:r>
              <w:rPr>
                <w:sz w:val="22"/>
              </w:rPr>
              <w:t>Dostatočne financované a efektívne fungujúce regionálne školstvo zabezpečujúce kvalitnú výchovu a vzdelávanie, reagujúce na aktuálne i očakávané potreby praxe, dostupné pre všetky vrstvy spoločnosti, poskytujúce deťom a žiakom základ zdravého životného štý</w:t>
            </w:r>
            <w:r>
              <w:rPr>
                <w:sz w:val="22"/>
              </w:rPr>
              <w:t xml:space="preserve">lu a zabezpečujúce učiteľom postavenie a ohodnotenie zodpovedajúce mimoriadnemu 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3" w:line="304" w:lineRule="auto"/>
              <w:ind w:left="0" w:right="56" w:firstLine="0"/>
            </w:pPr>
            <w:r>
              <w:rPr>
                <w:sz w:val="22"/>
              </w:rPr>
              <w:t>Efektívne fungujúce vysoké školstvo tvoriace súčasť európskeho priestoru vysokoškolského vzdelávania EHEA a európskeho výskumného priestoru ERA, poskytujúce vysokoškolské vzde</w:t>
            </w:r>
            <w:r>
              <w:rPr>
                <w:sz w:val="22"/>
              </w:rPr>
              <w:t xml:space="preserve">lávanie s kvalitou zodpovedajúcou medzinárodným štandardom, dostupné pre všetkých občanov, ktorí oň prejavia záujem a preukážu predpoklady na jeho úspešné absolvovanie, tvoriace jadro výskumného potenciálu </w:t>
            </w:r>
          </w:p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Slovenska v oblasti základného výskumu a v oblast</w:t>
            </w:r>
            <w:r>
              <w:rPr>
                <w:sz w:val="22"/>
              </w:rPr>
              <w:t xml:space="preserve">i aplikovaného výskumu a vývoja </w:t>
            </w:r>
          </w:p>
        </w:tc>
      </w:tr>
    </w:tbl>
    <w:p w:rsidR="00071B02" w:rsidRDefault="008F460B">
      <w:pPr>
        <w:spacing w:after="0" w:line="259" w:lineRule="auto"/>
        <w:ind w:right="-10"/>
        <w:jc w:val="right"/>
      </w:pPr>
      <w:r>
        <w:t xml:space="preserve">29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14850" w:type="dxa"/>
        <w:tblInd w:w="-424" w:type="dxa"/>
        <w:tblCellMar>
          <w:top w:w="11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90"/>
        <w:gridCol w:w="5482"/>
        <w:gridCol w:w="8078"/>
      </w:tblGrid>
      <w:tr w:rsidR="00071B02">
        <w:trPr>
          <w:trHeight w:val="299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významu ich práce.</w:t>
            </w:r>
            <w:r>
              <w:t xml:space="preserve"> 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a motor rozvoja spoločnosti a regiónov Slovenska.</w:t>
            </w:r>
            <w:r>
              <w:t xml:space="preserve"> </w:t>
            </w:r>
          </w:p>
        </w:tc>
      </w:tr>
      <w:tr w:rsidR="00071B02">
        <w:trPr>
          <w:trHeight w:val="1172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71B02" w:rsidRDefault="008F460B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2"/>
              </w:rPr>
              <w:t>Kapitoly</w:t>
            </w:r>
            <w:r>
              <w:rPr>
                <w:b/>
              </w:rPr>
              <w:t xml:space="preserve"> 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numPr>
                <w:ilvl w:val="0"/>
                <w:numId w:val="29"/>
              </w:numPr>
              <w:spacing w:after="55" w:line="259" w:lineRule="auto"/>
              <w:ind w:hanging="221"/>
              <w:jc w:val="left"/>
            </w:pPr>
            <w:r>
              <w:rPr>
                <w:sz w:val="22"/>
              </w:rPr>
              <w:t xml:space="preserve">Kvalita a dostupnosť výchovy a vzdelávania 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9"/>
              </w:numPr>
              <w:spacing w:after="53" w:line="259" w:lineRule="auto"/>
              <w:ind w:hanging="221"/>
              <w:jc w:val="left"/>
            </w:pPr>
            <w:r>
              <w:rPr>
                <w:sz w:val="22"/>
              </w:rPr>
              <w:t xml:space="preserve">Profesia učiteľa 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9"/>
              </w:numPr>
              <w:spacing w:after="42" w:line="259" w:lineRule="auto"/>
              <w:ind w:hanging="221"/>
              <w:jc w:val="left"/>
            </w:pPr>
            <w:r>
              <w:rPr>
                <w:sz w:val="22"/>
              </w:rPr>
              <w:t xml:space="preserve">Odborné vzdelávanie a príprava 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29"/>
              </w:numPr>
              <w:spacing w:after="0" w:line="259" w:lineRule="auto"/>
              <w:ind w:hanging="221"/>
              <w:jc w:val="left"/>
            </w:pPr>
            <w:r>
              <w:rPr>
                <w:sz w:val="22"/>
              </w:rPr>
              <w:t xml:space="preserve">Riadenie a </w:t>
            </w:r>
            <w:r>
              <w:rPr>
                <w:sz w:val="22"/>
              </w:rPr>
              <w:t xml:space="preserve">financovanie regionálneho školstva </w:t>
            </w:r>
            <w:r>
              <w:t xml:space="preserve"> 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numPr>
                <w:ilvl w:val="0"/>
                <w:numId w:val="30"/>
              </w:numPr>
              <w:spacing w:after="56" w:line="259" w:lineRule="auto"/>
              <w:ind w:hanging="221"/>
              <w:jc w:val="left"/>
            </w:pPr>
            <w:r>
              <w:rPr>
                <w:sz w:val="22"/>
              </w:rPr>
              <w:t>Kvalitné, otvorené a dostupné vysokoškolské vzdelávanie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30"/>
              </w:numPr>
              <w:spacing w:after="54" w:line="259" w:lineRule="auto"/>
              <w:ind w:hanging="221"/>
              <w:jc w:val="left"/>
            </w:pPr>
            <w:r>
              <w:rPr>
                <w:sz w:val="22"/>
              </w:rPr>
              <w:t xml:space="preserve">Veda, výskum a tvorivé činnosti na vysokých školách 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30"/>
              </w:numPr>
              <w:spacing w:after="41" w:line="259" w:lineRule="auto"/>
              <w:ind w:hanging="221"/>
              <w:jc w:val="left"/>
            </w:pPr>
            <w:r>
              <w:rPr>
                <w:sz w:val="22"/>
              </w:rPr>
              <w:t xml:space="preserve">Tretia spoločenská misia vysokých škôl </w:t>
            </w:r>
            <w:r>
              <w:t xml:space="preserve"> </w:t>
            </w:r>
          </w:p>
          <w:p w:rsidR="00071B02" w:rsidRDefault="008F460B">
            <w:pPr>
              <w:numPr>
                <w:ilvl w:val="0"/>
                <w:numId w:val="30"/>
              </w:numPr>
              <w:spacing w:after="0" w:line="259" w:lineRule="auto"/>
              <w:ind w:hanging="221"/>
              <w:jc w:val="left"/>
            </w:pPr>
            <w:r>
              <w:rPr>
                <w:sz w:val="22"/>
              </w:rPr>
              <w:t>Riadenie a financovanie vysokého školstva</w:t>
            </w:r>
            <w:r>
              <w:t xml:space="preserve"> </w:t>
            </w:r>
          </w:p>
        </w:tc>
      </w:tr>
    </w:tbl>
    <w:p w:rsidR="00071B02" w:rsidRDefault="008F460B">
      <w:pPr>
        <w:spacing w:after="0" w:line="259" w:lineRule="auto"/>
        <w:ind w:right="-10"/>
        <w:jc w:val="right"/>
      </w:pPr>
      <w:r>
        <w:t xml:space="preserve">30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</w:p>
    <w:p w:rsidR="00071B02" w:rsidRDefault="00071B02">
      <w:pPr>
        <w:sectPr w:rsidR="00071B02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6838" w:h="11906" w:orient="landscape"/>
          <w:pgMar w:top="1424" w:right="1416" w:bottom="1440" w:left="1418" w:header="708" w:footer="708" w:gutter="0"/>
          <w:cols w:space="708"/>
        </w:sectPr>
      </w:pPr>
    </w:p>
    <w:p w:rsidR="00071B02" w:rsidRDefault="008F460B">
      <w:pPr>
        <w:spacing w:after="199" w:line="267" w:lineRule="auto"/>
        <w:ind w:left="-5"/>
      </w:pPr>
      <w:r>
        <w:rPr>
          <w:b/>
        </w:rPr>
        <w:lastRenderedPageBreak/>
        <w:t>Obrázok 3.1</w:t>
      </w:r>
      <w:r>
        <w:t xml:space="preserve"> </w:t>
      </w:r>
    </w:p>
    <w:p w:rsidR="00071B02" w:rsidRDefault="008F460B">
      <w:pPr>
        <w:spacing w:after="84" w:line="259" w:lineRule="auto"/>
        <w:ind w:left="0" w:right="1073" w:firstLine="0"/>
        <w:jc w:val="right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6510" name="Picture 6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" name="Picture 651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71B02" w:rsidRDefault="008F460B">
      <w:pPr>
        <w:spacing w:after="185" w:line="259" w:lineRule="auto"/>
        <w:ind w:left="0" w:firstLine="0"/>
        <w:jc w:val="left"/>
      </w:pPr>
      <w:r>
        <w:rPr>
          <w:b/>
        </w:rPr>
        <w:t xml:space="preserve"> </w:t>
      </w:r>
    </w:p>
    <w:p w:rsidR="00071B02" w:rsidRDefault="008F460B">
      <w:pPr>
        <w:spacing w:after="132" w:line="267" w:lineRule="auto"/>
        <w:ind w:left="-5"/>
      </w:pPr>
      <w:r>
        <w:rPr>
          <w:b/>
        </w:rPr>
        <w:t xml:space="preserve">Obrázok 3.2 </w:t>
      </w:r>
    </w:p>
    <w:p w:rsidR="00071B02" w:rsidRDefault="008F460B">
      <w:pPr>
        <w:spacing w:after="126" w:line="259" w:lineRule="auto"/>
        <w:ind w:left="0" w:firstLine="0"/>
        <w:jc w:val="left"/>
      </w:pPr>
      <w:r>
        <w:rPr>
          <w:b/>
        </w:rPr>
        <w:t xml:space="preserve"> </w:t>
      </w:r>
    </w:p>
    <w:p w:rsidR="00071B02" w:rsidRDefault="008F460B">
      <w:pPr>
        <w:spacing w:after="114" w:line="259" w:lineRule="auto"/>
        <w:ind w:left="0" w:right="1073" w:firstLine="0"/>
        <w:jc w:val="right"/>
      </w:pPr>
      <w:r>
        <w:rPr>
          <w:noProof/>
        </w:rPr>
        <w:drawing>
          <wp:inline distT="0" distB="0" distL="0" distR="0">
            <wp:extent cx="4573651" cy="3430270"/>
            <wp:effectExtent l="0" t="0" r="0" b="0"/>
            <wp:docPr id="6512" name="Picture 6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" name="Picture 651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73651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71B02" w:rsidRDefault="008F460B">
      <w:pPr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b/>
          <w:sz w:val="26"/>
        </w:rPr>
        <w:t xml:space="preserve"> </w:t>
      </w:r>
    </w:p>
    <w:p w:rsidR="00071B02" w:rsidRDefault="008F460B">
      <w:pPr>
        <w:spacing w:after="132" w:line="267" w:lineRule="auto"/>
        <w:ind w:left="-5"/>
      </w:pPr>
      <w:r>
        <w:rPr>
          <w:b/>
        </w:rPr>
        <w:t xml:space="preserve">Obrázok 3.3 </w:t>
      </w:r>
    </w:p>
    <w:p w:rsidR="00071B02" w:rsidRDefault="008F460B">
      <w:pPr>
        <w:spacing w:after="127" w:line="259" w:lineRule="auto"/>
        <w:ind w:left="0" w:firstLine="0"/>
        <w:jc w:val="left"/>
      </w:pPr>
      <w:r>
        <w:rPr>
          <w:b/>
        </w:rPr>
        <w:t xml:space="preserve"> </w:t>
      </w:r>
    </w:p>
    <w:p w:rsidR="00071B02" w:rsidRDefault="008F460B">
      <w:pPr>
        <w:spacing w:after="84" w:line="259" w:lineRule="auto"/>
        <w:ind w:left="0" w:right="1073" w:firstLine="0"/>
        <w:jc w:val="right"/>
      </w:pPr>
      <w:r>
        <w:rPr>
          <w:noProof/>
        </w:rPr>
        <w:lastRenderedPageBreak/>
        <w:drawing>
          <wp:inline distT="0" distB="0" distL="0" distR="0">
            <wp:extent cx="4571365" cy="3428619"/>
            <wp:effectExtent l="0" t="0" r="0" b="0"/>
            <wp:docPr id="6530" name="Picture 6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" name="Picture 653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71B02" w:rsidRDefault="008F460B">
      <w:pPr>
        <w:spacing w:after="185" w:line="259" w:lineRule="auto"/>
        <w:ind w:left="0" w:firstLine="0"/>
        <w:jc w:val="left"/>
      </w:pPr>
      <w:r>
        <w:rPr>
          <w:b/>
        </w:rPr>
        <w:t xml:space="preserve"> </w:t>
      </w:r>
    </w:p>
    <w:p w:rsidR="00071B02" w:rsidRDefault="008F460B">
      <w:pPr>
        <w:spacing w:after="120" w:line="267" w:lineRule="auto"/>
        <w:ind w:left="-5"/>
      </w:pPr>
      <w:r>
        <w:rPr>
          <w:b/>
        </w:rPr>
        <w:t xml:space="preserve">Obrázok 3.4 </w:t>
      </w:r>
    </w:p>
    <w:p w:rsidR="00071B02" w:rsidRDefault="008F460B">
      <w:pPr>
        <w:spacing w:after="114" w:line="259" w:lineRule="auto"/>
        <w:ind w:left="0" w:right="1073" w:firstLine="0"/>
        <w:jc w:val="right"/>
      </w:pPr>
      <w:r>
        <w:rPr>
          <w:noProof/>
        </w:rPr>
        <w:drawing>
          <wp:inline distT="0" distB="0" distL="0" distR="0">
            <wp:extent cx="4573524" cy="3430270"/>
            <wp:effectExtent l="0" t="0" r="0" b="0"/>
            <wp:docPr id="6532" name="Picture 6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" name="Picture 653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573524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71B02" w:rsidRDefault="008F460B">
      <w:pPr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b/>
          <w:sz w:val="26"/>
        </w:rPr>
        <w:t xml:space="preserve"> </w:t>
      </w:r>
    </w:p>
    <w:p w:rsidR="00071B02" w:rsidRDefault="008F460B">
      <w:pPr>
        <w:pStyle w:val="Nadpis2"/>
        <w:ind w:left="-5"/>
      </w:pPr>
      <w:bookmarkStart w:id="20" w:name="_Toc89338"/>
      <w:r>
        <w:t xml:space="preserve">3. 2. Vízia a globálny cieľ  </w:t>
      </w:r>
      <w:bookmarkEnd w:id="20"/>
    </w:p>
    <w:p w:rsidR="00071B02" w:rsidRDefault="008F460B">
      <w:pPr>
        <w:spacing w:after="155"/>
      </w:pPr>
      <w:r>
        <w:t xml:space="preserve">V záujme dosiahnutia cieľov NPRVV je potrebné rozvíjať systém výchovy a vzdelávania v Slovenskej republike tak, aby: </w:t>
      </w:r>
    </w:p>
    <w:p w:rsidR="00071B02" w:rsidRDefault="008F460B">
      <w:pPr>
        <w:numPr>
          <w:ilvl w:val="0"/>
          <w:numId w:val="7"/>
        </w:numPr>
        <w:spacing w:after="28"/>
        <w:ind w:hanging="360"/>
      </w:pPr>
      <w:r>
        <w:lastRenderedPageBreak/>
        <w:t xml:space="preserve">každý človek mal dostatok možností a podnetov rozvinúť svoj potenciál v celoživotnom procese učenia sa, </w:t>
      </w:r>
    </w:p>
    <w:p w:rsidR="00071B02" w:rsidRDefault="008F460B">
      <w:pPr>
        <w:numPr>
          <w:ilvl w:val="0"/>
          <w:numId w:val="7"/>
        </w:numPr>
        <w:spacing w:after="28"/>
        <w:ind w:hanging="360"/>
      </w:pPr>
      <w:r>
        <w:t xml:space="preserve">boli vytvorené vhodné podmienky na rovnoprávne vzdelávanie všetkých občanov Slovenskej republiky vrátane príslušníkov národnostných menšín, </w:t>
      </w:r>
    </w:p>
    <w:p w:rsidR="00071B02" w:rsidRDefault="008F460B">
      <w:pPr>
        <w:numPr>
          <w:ilvl w:val="0"/>
          <w:numId w:val="7"/>
        </w:numPr>
        <w:spacing w:after="35"/>
        <w:ind w:hanging="360"/>
      </w:pPr>
      <w:r>
        <w:t>vzdelávaci</w:t>
      </w:r>
      <w:r>
        <w:t>e príležitosti boli celoživotne dostupné pre každého jednotlivca, ich dostupnosť bola zabezpečená rovným prístupom k vzdelávaniu a v prípade potreby aj opatreniami na vyrovnávanie šancí so zreteľom na deti zo sociálne znevýhodneného prostredia, sociálne vy</w:t>
      </w:r>
      <w:r>
        <w:t xml:space="preserve">lúčených spoločenstiev a deti so zdravotným znevýhodnením, </w:t>
      </w:r>
    </w:p>
    <w:p w:rsidR="00071B02" w:rsidRDefault="008F460B">
      <w:pPr>
        <w:numPr>
          <w:ilvl w:val="0"/>
          <w:numId w:val="7"/>
        </w:numPr>
        <w:spacing w:after="31"/>
        <w:ind w:hanging="360"/>
      </w:pPr>
      <w:r>
        <w:t>ľudia mohli nadobúdať vzdelanie, ktoré im umožní všestranný rozvoj a napĺňanie individuálnych osobných cieľov so zreteľom na potreby spoločnosti, podporu spoločenskej súdržnosti a ekonomickú prosp</w:t>
      </w:r>
      <w:r>
        <w:t xml:space="preserve">eritu, </w:t>
      </w:r>
    </w:p>
    <w:p w:rsidR="00071B02" w:rsidRDefault="008F460B">
      <w:pPr>
        <w:numPr>
          <w:ilvl w:val="0"/>
          <w:numId w:val="7"/>
        </w:numPr>
        <w:spacing w:after="33"/>
        <w:ind w:hanging="360"/>
      </w:pPr>
      <w:r>
        <w:t xml:space="preserve">súčasťou učenia sa každého jednotlivca bolo aj formovanie systému hodnôt a postojov, ktoré vychádzajú z princípov demokratického spoločenského poriadku, základných práv a slobôd a pripravujú ho na život v demokratickej a pluralitnej spoločnosti, </w:t>
      </w:r>
    </w:p>
    <w:p w:rsidR="00071B02" w:rsidRDefault="008F460B">
      <w:pPr>
        <w:numPr>
          <w:ilvl w:val="0"/>
          <w:numId w:val="7"/>
        </w:numPr>
        <w:spacing w:after="34"/>
        <w:ind w:hanging="360"/>
      </w:pPr>
      <w:r>
        <w:t>f</w:t>
      </w:r>
      <w:r>
        <w:t xml:space="preserve">ormálne vzdelávanie bolo významnou, nie však jedinou podporovanou formou zmysluplného učenia sa, pretože človek sa učí aj prostredníctvom neformálneho vzdelávania a informálnym učením sa, </w:t>
      </w:r>
    </w:p>
    <w:p w:rsidR="00071B02" w:rsidRDefault="008F460B">
      <w:pPr>
        <w:numPr>
          <w:ilvl w:val="0"/>
          <w:numId w:val="7"/>
        </w:numPr>
        <w:spacing w:after="30"/>
        <w:ind w:hanging="360"/>
      </w:pPr>
      <w:r>
        <w:t>vzdelávacie programy boli neustále zdokonaľované a inovované na zák</w:t>
      </w:r>
      <w:r>
        <w:t xml:space="preserve">lade funkčných mechanizmov spätnej väzby a jej vyhodnocovania, </w:t>
      </w:r>
    </w:p>
    <w:p w:rsidR="00071B02" w:rsidRDefault="008F460B">
      <w:pPr>
        <w:numPr>
          <w:ilvl w:val="0"/>
          <w:numId w:val="7"/>
        </w:numPr>
        <w:spacing w:after="28"/>
        <w:ind w:hanging="360"/>
      </w:pPr>
      <w:r>
        <w:t xml:space="preserve">tento systém podporoval participáciu a kooperáciu všetkých aktérov vo vzdelávaní vrátane detí a žiakov, </w:t>
      </w:r>
    </w:p>
    <w:p w:rsidR="00071B02" w:rsidRDefault="008F460B">
      <w:pPr>
        <w:numPr>
          <w:ilvl w:val="0"/>
          <w:numId w:val="7"/>
        </w:numPr>
        <w:spacing w:after="243"/>
        <w:ind w:hanging="360"/>
      </w:pPr>
      <w:r>
        <w:t xml:space="preserve">akékoľvek významnejšie zmeny v systéme sa uskutočnili až na základe širokej odbornej a </w:t>
      </w:r>
      <w:r>
        <w:t xml:space="preserve">verejnej diskusie, v ktorej sa dosiahne čo najširšia spoločenská dohoda. </w:t>
      </w:r>
    </w:p>
    <w:p w:rsidR="00071B02" w:rsidRDefault="008F460B">
      <w:pPr>
        <w:pStyle w:val="Nadpis2"/>
        <w:spacing w:after="251"/>
        <w:ind w:left="-5"/>
      </w:pPr>
      <w:bookmarkStart w:id="21" w:name="_Toc89339"/>
      <w:r>
        <w:t xml:space="preserve">3. 3. Strategické ciele  </w:t>
      </w:r>
      <w:bookmarkEnd w:id="21"/>
    </w:p>
    <w:p w:rsidR="00071B02" w:rsidRDefault="008F460B">
      <w:pPr>
        <w:pStyle w:val="Nadpis3"/>
        <w:spacing w:after="170"/>
        <w:ind w:left="-5"/>
      </w:pPr>
      <w:bookmarkStart w:id="22" w:name="_Toc89340"/>
      <w:r>
        <w:t xml:space="preserve">3.3.1. Strategické ciele </w:t>
      </w:r>
      <w:bookmarkEnd w:id="22"/>
    </w:p>
    <w:p w:rsidR="00071B02" w:rsidRDefault="008F460B">
      <w:pPr>
        <w:spacing w:after="139"/>
        <w:ind w:right="195"/>
      </w:pPr>
      <w:r>
        <w:t>V súlade s popísanou štruktúrou a intervenčnou logikou, NPRVV obsahuje tri strategické ciele a dvanásť konkrétnych cieľov. Strateg</w:t>
      </w:r>
      <w:r>
        <w:t xml:space="preserve">ické ciele predstavujú hlavné ciele intervencie v komplexnom vyjadrení, prelínajúce sa všetkými tematickými oblasťami a okruhmi. NPRVV je zameraný na dosiahnutie nasledovných strategických cieľov: </w:t>
      </w:r>
    </w:p>
    <w:p w:rsidR="00071B02" w:rsidRDefault="008F460B">
      <w:pPr>
        <w:numPr>
          <w:ilvl w:val="0"/>
          <w:numId w:val="8"/>
        </w:numPr>
        <w:spacing w:after="67" w:line="267" w:lineRule="auto"/>
        <w:ind w:hanging="360"/>
      </w:pPr>
      <w:r>
        <w:rPr>
          <w:b/>
        </w:rPr>
        <w:t xml:space="preserve">Zvýšenie kvality výchovy a vzdelávania </w:t>
      </w:r>
    </w:p>
    <w:p w:rsidR="00071B02" w:rsidRDefault="008F460B">
      <w:pPr>
        <w:numPr>
          <w:ilvl w:val="0"/>
          <w:numId w:val="8"/>
        </w:numPr>
        <w:spacing w:after="67" w:line="267" w:lineRule="auto"/>
        <w:ind w:hanging="360"/>
      </w:pPr>
      <w:r>
        <w:rPr>
          <w:b/>
        </w:rPr>
        <w:t xml:space="preserve">Zvýšenie dostupnosti kvalitnej výchovy a vzdelávania </w:t>
      </w:r>
    </w:p>
    <w:p w:rsidR="00071B02" w:rsidRDefault="008F460B">
      <w:pPr>
        <w:numPr>
          <w:ilvl w:val="0"/>
          <w:numId w:val="8"/>
        </w:numPr>
        <w:spacing w:after="171" w:line="267" w:lineRule="auto"/>
        <w:ind w:hanging="360"/>
      </w:pPr>
      <w:r>
        <w:rPr>
          <w:b/>
        </w:rPr>
        <w:t xml:space="preserve">Modernizácia výchovy a vzdelávania </w:t>
      </w:r>
    </w:p>
    <w:p w:rsidR="00071B02" w:rsidRDefault="008F460B">
      <w:pPr>
        <w:ind w:right="198"/>
      </w:pPr>
      <w:r>
        <w:t>Uvedené ciele predstavujú komplexné tendencie vývoja systému výchovy a vzdelávania,ktoré sú previazané s konkrétnymi cieľmi, ako aj s prierezovými prioritami a opatre</w:t>
      </w:r>
      <w:r>
        <w:t xml:space="preserve">niami programu. Prehľad strategických cieľov a príklady aktivít zameraných na dosiahnutie jednotlivých cieľov sú znázornené na Obrázku 3.5. </w:t>
      </w:r>
    </w:p>
    <w:p w:rsidR="00071B02" w:rsidRDefault="008F460B">
      <w:pPr>
        <w:spacing w:after="121" w:line="267" w:lineRule="auto"/>
        <w:ind w:left="-5"/>
      </w:pPr>
      <w:r>
        <w:rPr>
          <w:b/>
        </w:rPr>
        <w:lastRenderedPageBreak/>
        <w:t xml:space="preserve">Obrázok 3.5 </w:t>
      </w:r>
    </w:p>
    <w:p w:rsidR="00071B02" w:rsidRDefault="008F460B">
      <w:pPr>
        <w:spacing w:after="207" w:line="259" w:lineRule="auto"/>
        <w:ind w:left="0" w:right="1073" w:firstLine="0"/>
        <w:jc w:val="right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6778" name="Picture 6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" name="Picture 677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71B02" w:rsidRDefault="008F460B">
      <w:pPr>
        <w:pStyle w:val="Nadpis4"/>
        <w:ind w:left="-5"/>
      </w:pPr>
      <w:r>
        <w:t xml:space="preserve">3.3.1.1. Zvýšenie kvality výchovy a vzdelávania </w:t>
      </w:r>
    </w:p>
    <w:p w:rsidR="00071B02" w:rsidRDefault="008F460B">
      <w:pPr>
        <w:spacing w:after="126"/>
        <w:ind w:right="201"/>
      </w:pPr>
      <w:r>
        <w:rPr>
          <w:b/>
        </w:rPr>
        <w:t>Vysoká kvalita ako jadro stanoveného strategického</w:t>
      </w:r>
      <w:r>
        <w:rPr>
          <w:b/>
        </w:rPr>
        <w:t xml:space="preserve"> cieľa</w:t>
      </w:r>
      <w:r>
        <w:t xml:space="preserve"> v oblasti vzdelávania sa dotýka všetkých jeho aspektov a vzdelávacích stupňov. Významnými zložkami je aj silná pozícia výchovnej stránky vzdelávania, rozvíjanie žiaka ako jedinečnej osobnosti žijúcej v spoločenstve s jej potencionalitami múdrosti, d</w:t>
      </w:r>
      <w:r>
        <w:t>obra, vnímania a produkovania krásy. Napĺňanie tohto strategického cieľa si vyžaduje súhru viacerých vzájomne súvisiacich pilierov, ktoré majú pri realizácii cieľa pôsobiť ako harmonický celok.</w:t>
      </w:r>
      <w:r>
        <w:rPr>
          <w:b/>
        </w:rPr>
        <w:t xml:space="preserve"> </w:t>
      </w:r>
    </w:p>
    <w:p w:rsidR="00071B02" w:rsidRDefault="008F460B">
      <w:pPr>
        <w:spacing w:after="130"/>
        <w:ind w:right="196"/>
      </w:pPr>
      <w:r>
        <w:t xml:space="preserve">S tým súvisia aj zmeny v cieľoch i v samotnom obsahu výchovy </w:t>
      </w:r>
      <w:r>
        <w:t>a vzdelávania. Dôležité je optimálne vyváženie vzdelávacích cieľov v rámci štátnych a školských vzdelávacích programov, ako aj priestor vo vyučovaní na rozvoj tvorivosti, kritického myslenia a ďalších sociálnych zručností. Rovnako dôležitá ako koncipovanie</w:t>
      </w:r>
      <w:r>
        <w:t xml:space="preserve"> zmysluplného obsahu je aj podpora účelných spôsobov, foriem a metód vzdelávania i celková zmena klímy školy. Slovenský kvalifikačný rámec je definovaný vo väzbe na európsky kvalifikačný rámec, ktorý určuje vedomosti, zručnosti a návyky, ktoré žiaci a štud</w:t>
      </w:r>
      <w:r>
        <w:t xml:space="preserve">enti získajú v procese výchovy a vzdelávania.  </w:t>
      </w:r>
    </w:p>
    <w:p w:rsidR="00071B02" w:rsidRDefault="008F460B">
      <w:pPr>
        <w:spacing w:after="130"/>
        <w:ind w:right="197"/>
      </w:pPr>
      <w:r>
        <w:t>Posilnenie kvalitatívnej stránky systému výchovy a vzdelávania bude dosiahnuté aj lepším zakomponovaním transverzálnych kompetencií do vzdelávacieho kurikula. Obrázok 3.6 poskytuje ilustratívny príklad zabudo</w:t>
      </w:r>
      <w:r>
        <w:t xml:space="preserve">vania týchto kompetencií do fínskeho národného jadrového kurikula a národného kvalifikačného rámca. </w:t>
      </w:r>
    </w:p>
    <w:p w:rsidR="00071B02" w:rsidRDefault="008F460B">
      <w:pPr>
        <w:spacing w:after="116"/>
        <w:ind w:right="197"/>
      </w:pPr>
      <w:r>
        <w:t>Významnou súčasťou zabezpečovania kvality v systéme výchovy a vzdelávania je reforma procesov financovania a riadenia. V oblasti financovania sa NPRVV zame</w:t>
      </w:r>
      <w:r>
        <w:t xml:space="preserve">riava na viaceré zásadné zmeny, akými sú napríklad zmeny nastavení základných indikátorov financovania s </w:t>
      </w:r>
      <w:r>
        <w:lastRenderedPageBreak/>
        <w:t>cieľom znížiť extenzívne financovanie (kapitačný princíp) a posilniť financovanie kvality, zmena metodiky rozpisu dotácií pre univerzity a vysoké školy</w:t>
      </w:r>
      <w:r>
        <w:t xml:space="preserve"> s cieľom aktualizovať nastavenie systému (napr. koeficienty ekonomickej náročnosti štúdia), odstránenie diskrepancií a systematické posilňovanie platov v rezorte školstva (napr. zjednotenie tabuliek pre vedeckých a výskumných pracovníkov s tabuľkami vysok</w:t>
      </w:r>
      <w:r>
        <w:t xml:space="preserve">oškolských pedagógov, zvyšovanie mzdových tabuliek a valorizácia). </w:t>
      </w:r>
    </w:p>
    <w:p w:rsidR="00071B02" w:rsidRDefault="008F460B">
      <w:pPr>
        <w:spacing w:after="138"/>
        <w:ind w:right="194"/>
      </w:pPr>
      <w:r>
        <w:t>V oblasti riadenia poskytuje NPRVV súbor opatrení zameraných na skvalitnenie správnych systémov na úrovni regionálneho aj vysokého školstva. V oblasti regionálneho školstva ide aj o presun</w:t>
      </w:r>
      <w:r>
        <w:t xml:space="preserve"> resp. navrátenie niektorých kompetencií pod rezort školstva s cieľom optimalizovať nastavenie systému v rámci celej SR (napríklad určovanie počtov tried osemročných gymnázií v súlade s kvótou na celoštátnej úrovni pri zohľadnení geografických a urbanistic</w:t>
      </w:r>
      <w:r>
        <w:t>kých pomerov), opätovné zaradenie niektorých druhov škôl pod rezort školstva (špeciálne školy a bilingválne gymnáziá založené medzinárodnými zmluvami), zmeny v určovaní plánu výkonov SOV s cieľom lepšie zohľadniť potreby trhu práce (napr. presun od všeobec</w:t>
      </w:r>
      <w:r>
        <w:t>ne záväzných nariadení krajskej samosprávy na prenesený výkon štátnej správy na úrovni krajov), posilnenie participatívnych princípov riadenia (napr. rozšírením krajských rád a posilnením ich úloh pri určovaní plánov výkonov SOV). V oblasti vysokého školst</w:t>
      </w:r>
      <w:r>
        <w:t>va sa NPRVV venuje zmenám legislatívy s cieľom posilniť kvalitu poskytovania vysokoškolského vzdelávania, ako aj kvalitu hodnotenia výsledkov vedeckej, výskumnej a tvorivej činnosti a kvalitu hodnotenia projektov a grantových schém v záujme zvýšenia excele</w:t>
      </w:r>
      <w:r>
        <w:t xml:space="preserve">ntnosti a konkurencieschopnosti slovenských vysokých škôl v európskom vzdelávacom priestore a európskom výskumnom priestore.  </w:t>
      </w:r>
    </w:p>
    <w:p w:rsidR="00071B02" w:rsidRDefault="008F460B">
      <w:pPr>
        <w:spacing w:after="109" w:line="267" w:lineRule="auto"/>
        <w:ind w:left="-5" w:right="196"/>
      </w:pPr>
      <w:r>
        <w:rPr>
          <w:b/>
        </w:rPr>
        <w:t xml:space="preserve">Obrázok 3.6 Transverzálne kompetencie podľa fínskeho národného jadrového kurikula pre základné vzdelávanie  </w:t>
      </w:r>
    </w:p>
    <w:p w:rsidR="00071B02" w:rsidRDefault="008F460B">
      <w:pPr>
        <w:spacing w:after="123" w:line="259" w:lineRule="auto"/>
        <w:ind w:left="1612" w:firstLine="0"/>
        <w:jc w:val="left"/>
      </w:pPr>
      <w:r>
        <w:rPr>
          <w:noProof/>
        </w:rPr>
        <w:drawing>
          <wp:inline distT="0" distB="0" distL="0" distR="0">
            <wp:extent cx="3701499" cy="3543377"/>
            <wp:effectExtent l="0" t="0" r="0" b="0"/>
            <wp:docPr id="6891" name="Picture 6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701499" cy="354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71B02" w:rsidRDefault="008F460B">
      <w:pPr>
        <w:spacing w:after="0" w:line="268" w:lineRule="auto"/>
        <w:ind w:left="-5"/>
      </w:pPr>
      <w:r>
        <w:rPr>
          <w:i/>
        </w:rPr>
        <w:lastRenderedPageBreak/>
        <w:t xml:space="preserve">Zdroj: Fínska národná agentúra pre vzdelávanie  </w:t>
      </w:r>
    </w:p>
    <w:p w:rsidR="00071B02" w:rsidRDefault="008F460B">
      <w:pPr>
        <w:spacing w:after="118"/>
        <w:ind w:right="195"/>
      </w:pPr>
      <w:r>
        <w:t>Dôležitú úlohu pri zvyšovaní kvality systému výchovy a vzdelávania má v NPRVV zlepšenie procesov hodnotenia. Ide jednak o priebežné hodnotenie procesu učenia sa a vyučovania, poskytujúce nevyhnutnú spätnú vä</w:t>
      </w:r>
      <w:r>
        <w:t>zbu. Spätná väzba umožňuje učiacim sa lepšie sa orientovať v tom, čo dosiahli a plánovať svoj ďalší pokrok, vyučujúcim zasa zhodnocovať zvolené pedagogické stratégie a adaptovať ich podľa vzdelávacích potrieb žiakov. Hodnotenie kvality a dostupnosti vzdelá</w:t>
      </w:r>
      <w:r>
        <w:t xml:space="preserve">vacích, podporných a odborných služieb je dôležitou súčasťou sebahodnotenia školy pri plnení jej poslania a zlepšovaní jej fungovania.  </w:t>
      </w:r>
    </w:p>
    <w:p w:rsidR="00071B02" w:rsidRDefault="008F460B">
      <w:pPr>
        <w:spacing w:after="214"/>
        <w:ind w:right="197"/>
      </w:pPr>
      <w:r>
        <w:t>V neposlednom rade je potrebné zvýšiť kvalitu hodnotiacich procesov v oblasti pedagogickej činnosti na vysokých školách</w:t>
      </w:r>
      <w:r>
        <w:t>, vedy a výskumu. NPRVV obsahuje opatrenia na zvýšenie kvality hodnotenia napríklad prostredníctvom nového zákona o kvalite vysokých škôl, zlepšenie hodnotenia a výberu vedeckých a výskumných projektov podporených v rámci grantových schém (VEGA, KEGA, APVV</w:t>
      </w:r>
      <w:r>
        <w:t>) a financovaných z európskych zdrojov (najmä operačných programov 2014-2020). V oblasti hodnotenia sa NPRVV zameriava na vytvorenie konsolidovaných databáz overených hodnotiteľov, odstránenie potenciálneho konfliktu záujmov prostredníctvom profesionalizác</w:t>
      </w:r>
      <w:r>
        <w:t xml:space="preserve">ie hodnotiaceho procesu, posilnenie nestrannosti hodnotenia prostredníctvom automatizovaného výberu hodnotiteľov a pod.  </w:t>
      </w:r>
    </w:p>
    <w:p w:rsidR="00071B02" w:rsidRDefault="008F460B">
      <w:pPr>
        <w:pStyle w:val="Nadpis4"/>
        <w:ind w:left="-5"/>
      </w:pPr>
      <w:r>
        <w:t xml:space="preserve">3.3.1.2. Zvýšenie dostupnosti kvalitnej výchovy a vzdelávania </w:t>
      </w:r>
    </w:p>
    <w:p w:rsidR="00071B02" w:rsidRDefault="008F460B">
      <w:pPr>
        <w:spacing w:after="139"/>
        <w:ind w:right="199"/>
      </w:pPr>
      <w:r>
        <w:rPr>
          <w:b/>
        </w:rPr>
        <w:t>Kvalita výchovy a vzdelávania a jeho dostupnosť</w:t>
      </w:r>
      <w:r>
        <w:t xml:space="preserve"> sú spolu úzko previazan</w:t>
      </w:r>
      <w:r>
        <w:t>é. Bez ich primeranej dostupnosti nemožno povedať, že zabezpečuje kvalitu pre všetkých a naopak, dostupnosť bez vysokej kvality je iba polovičným naplnením cieľa.</w:t>
      </w:r>
      <w:r>
        <w:rPr>
          <w:b/>
        </w:rPr>
        <w:t xml:space="preserve"> </w:t>
      </w:r>
    </w:p>
    <w:p w:rsidR="00071B02" w:rsidRDefault="008F460B">
      <w:pPr>
        <w:spacing w:after="126"/>
        <w:ind w:right="197"/>
      </w:pPr>
      <w:r>
        <w:rPr>
          <w:b/>
        </w:rPr>
        <w:t>V rámci napĺňania strategického cieľa rozšírenia dostupnosti kvalitného vzdelávania pre všet</w:t>
      </w:r>
      <w:r>
        <w:rPr>
          <w:b/>
        </w:rPr>
        <w:t>kých</w:t>
      </w:r>
      <w:r>
        <w:t xml:space="preserve"> je mimoriadne dôležité zakotvenie konceptu povinného vzdelávania v Ústave, ktoré podporuje rozvoj osobnosti jednotlivca, ale aj zdravé budovanie spoločenských vzťahov a vnútornej súdržnosti spoločnosti. Jadrom systému výchovy a vzdelávania je sieť škô</w:t>
      </w:r>
      <w:r>
        <w:t>l, podporovaná a riadená štátom. Táto sieť, ktorej fungovanie je potrebné zefektívňovať, je primárne predmetom tohto národného programu, pretože tvorí a aj naďalej bude tvoriť „hlavný prúd“ výchovy a vzdelávania. Významnými zložkami tejto siete sú cirkevné</w:t>
      </w:r>
      <w:r>
        <w:t xml:space="preserve"> a súkromné školy, ktoré vnášajú do systému zdravú rozmanitosť a pluralitu. Je potrebné taktiež zohľadňovať úlohu, ktorú popri formálnom vzdelávaní v škole plní neformálne vzdelávanie a informálne učenie sa. </w:t>
      </w:r>
    </w:p>
    <w:p w:rsidR="00071B02" w:rsidRDefault="008F460B">
      <w:pPr>
        <w:ind w:right="194"/>
      </w:pPr>
      <w:r>
        <w:t>Základným pilierom je individualizovaný (difere</w:t>
      </w:r>
      <w:r>
        <w:t>ncovaný, personalizovaný) prístup, v centre ktorého stojí učiaci sa, jeho osobný potenciál a vzdelávacie potreby</w:t>
      </w:r>
      <w:r>
        <w:rPr>
          <w:vertAlign w:val="superscript"/>
        </w:rPr>
        <w:footnoteReference w:id="8"/>
      </w:r>
      <w:r>
        <w:t xml:space="preserve">. V rámci toho je nevyhnutné aby učitelia spoločne s ďalšími odborníkmi dokázali pracovať s rozmanitosťou </w:t>
      </w:r>
      <w:r>
        <w:lastRenderedPageBreak/>
        <w:t>žiakov, ich rôznorodým potenciálom, n</w:t>
      </w:r>
      <w:r>
        <w:t>adaním, talentom aj znevýhodnením, pričom túto rozmanitosť vnímajú ako prirodzený jav. Z takéhoto prístupu budú mať úžitok najmä tzv. „bežné deti“, ktorých vzdelávací potenciál bude dostávať v rámci individualizovaného vzdelávania významne viac rozvojových</w:t>
      </w:r>
      <w:r>
        <w:t xml:space="preserve"> impulzov. Aj deti s vysokým vzdelávacím potenciálom budú z takéhoto prístupu mať úžitok. </w:t>
      </w:r>
    </w:p>
    <w:p w:rsidR="00071B02" w:rsidRDefault="008F460B">
      <w:pPr>
        <w:spacing w:after="112"/>
        <w:ind w:right="197"/>
      </w:pPr>
      <w:r>
        <w:t>NPRVV navrhuje aj zvýšenie inkluzívnosti našich škôl vo vzťahu k žiakom so špeciálnymi výchovno-vzdelávacími potrebami, zdravotným znevýhodnením a žiakom zo sociálne</w:t>
      </w:r>
      <w:r>
        <w:t xml:space="preserve"> znevýhodneného prostredia. Na to musia mať vytvorené podmienky aj v podobe integrovaného multidisciplinárneho systému prevencie, podpory a intervencie. Je potrebné zdôrazniť, že akékoľvek zmeny v systéme vzdelávania nesmú ísť na úkor žiadnej skupiny žiako</w:t>
      </w:r>
      <w:r>
        <w:t xml:space="preserve">v, a teda ani tých, ktorí sa zvyknú zaradzovať do skupiny „tzv. bežných žiakov“. </w:t>
      </w:r>
    </w:p>
    <w:p w:rsidR="00071B02" w:rsidRDefault="008F460B">
      <w:pPr>
        <w:spacing w:after="209"/>
        <w:ind w:right="197"/>
      </w:pPr>
      <w:r>
        <w:t xml:space="preserve">NPRVV venuje pozornosť potrebám detí a vytvoreniu dostupnosti miest v predprimárnom vzdelávaní pre každé dieťa. Okrem iného navrhuje predĺženie povinného vzdelávania o jeden </w:t>
      </w:r>
      <w:r>
        <w:t xml:space="preserve">rok smerom dole, teda od veku 5 rokov veku dieťaťa, ktoré sa bude plniť primárne v materskej škole a predpokladom pre úspešné zvládnutie výchovy a vzdelávania v základnej škole, s postupným výhľadovým predĺžením o ďalší rok, teda od veku 4 rokov dieťaťa. </w:t>
      </w:r>
    </w:p>
    <w:p w:rsidR="00071B02" w:rsidRDefault="008F460B">
      <w:pPr>
        <w:pStyle w:val="Nadpis4"/>
        <w:ind w:left="-5"/>
      </w:pPr>
      <w:r>
        <w:t xml:space="preserve">3.3.1.3. Modernizácia výchovy a vzdelávania </w:t>
      </w:r>
    </w:p>
    <w:p w:rsidR="00071B02" w:rsidRDefault="008F460B">
      <w:pPr>
        <w:spacing w:after="119"/>
        <w:ind w:right="200"/>
      </w:pPr>
      <w:r>
        <w:rPr>
          <w:b/>
        </w:rPr>
        <w:t>NPRVV sa zameriava na modernizáciu</w:t>
      </w:r>
      <w:r>
        <w:t xml:space="preserve"> systému výchovy a vzdelávania prostredníctvom modernizácie obsahu aj procesov, najmä modernizáciou vzdelávacieho obsahu (ŠVP), metód testovania či diagnostiky. V oblasti modern</w:t>
      </w:r>
      <w:r>
        <w:t xml:space="preserve">izácie vzdelávacieho obsahu je potrebné ďalej prepojiť obsah s vedomosťami, kompetenciami a zručnosťami v súlade s EKR a rozvinúť ďalšie úrovne EKR (postoje, hodnoty a pod.) vo väzbe na štruktúru ŠVP. </w:t>
      </w:r>
    </w:p>
    <w:p w:rsidR="00071B02" w:rsidRDefault="008F460B">
      <w:pPr>
        <w:spacing w:after="128"/>
        <w:ind w:right="197"/>
      </w:pPr>
      <w:r>
        <w:t>NPRVV sa zameriava na modernizáciu testovacích postupo</w:t>
      </w:r>
      <w:r>
        <w:t>v, lepšie prepojenie testovania so vzdelávacím obsahom, lepšie odrazenie medzinárodných testovacích postupov v národných testovaniach (napríklad kolaboratívne postupy, riešenie komplexných problémov, schopnosť riešiť problémy v technologicky náročnom prost</w:t>
      </w:r>
      <w:r>
        <w:t xml:space="preserve">redí) </w:t>
      </w:r>
    </w:p>
    <w:p w:rsidR="00071B02" w:rsidRDefault="008F460B">
      <w:pPr>
        <w:spacing w:after="129"/>
        <w:ind w:right="196"/>
      </w:pPr>
      <w:r>
        <w:t xml:space="preserve">Významnú úlohu pri modernizácii systému vzdelávania zohráva digitalizácia a využívanie informačných a komunikačných technológií. NPRVV podporuje rozšírenie ich využívania vo výučbe, vrátane digitalizácie vzdelávacieho obsahu a posilnenia využívania </w:t>
      </w:r>
      <w:r>
        <w:t xml:space="preserve">digitálnych technológií pri výučbe a testovaní.  </w:t>
      </w:r>
    </w:p>
    <w:p w:rsidR="00071B02" w:rsidRDefault="008F460B">
      <w:pPr>
        <w:spacing w:after="219"/>
        <w:ind w:right="199"/>
      </w:pPr>
      <w:r>
        <w:t>NPRVV navrhuje modernizáciu metód používaných v boji s negatívnymi spoločenskými javmi (napr. s predsudkami s rasistickými, xenofóbnymi až diskriminačnými črtami v školskom prostredí) založenom na báze mode</w:t>
      </w:r>
      <w:r>
        <w:t>rných koncepcií, akou je napríklad výchova ku globálnemu občianstvu. Globálne občianstvo je významnou súčasťou Agendy OSN 2030. MŠVVŠ SR je gestorom výchovy ku globálnemu občianstvu v rámci národného programu Agendy 2030 a rozvíja uvedené metodiky aj v spo</w:t>
      </w:r>
      <w:r>
        <w:t xml:space="preserve">lupráci s ďalšími medzinárodnými organizáciami, akými sú napríklad UNESCO a OECD. </w:t>
      </w:r>
    </w:p>
    <w:p w:rsidR="00071B02" w:rsidRDefault="008F460B">
      <w:pPr>
        <w:pStyle w:val="Nadpis3"/>
        <w:spacing w:after="172"/>
        <w:ind w:left="-5"/>
      </w:pPr>
      <w:bookmarkStart w:id="23" w:name="_Toc89341"/>
      <w:r>
        <w:lastRenderedPageBreak/>
        <w:t>3.3.2. Prierezové priority</w:t>
      </w:r>
      <w:r>
        <w:rPr>
          <w:i/>
        </w:rPr>
        <w:t xml:space="preserve"> </w:t>
      </w:r>
      <w:bookmarkEnd w:id="23"/>
    </w:p>
    <w:p w:rsidR="00071B02" w:rsidRDefault="008F460B">
      <w:pPr>
        <w:spacing w:after="28" w:line="305" w:lineRule="auto"/>
        <w:ind w:left="0" w:right="542" w:firstLine="0"/>
        <w:jc w:val="left"/>
      </w:pPr>
      <w:r>
        <w:t xml:space="preserve">Systém vzdelávania a výchovy má komplexné dopady na spoločenské a ekonomické javy celospoločenského významu. V </w:t>
      </w:r>
      <w:r>
        <w:t>rámci plánovania opatrení zaradených pod vecne príslušné strategické a konkrétne ciele je potrebné vnímať a plánovať aj systémové väzby, ktorými tieto opatrenia prispievajú k riešeniu komplexných spoločenských a ekonomických javov. NPRVV preto identifikuje</w:t>
      </w:r>
      <w:r>
        <w:t xml:space="preserve"> tri prierezové priority zamerané na riešenie významných a aktuálnych spoločenských a ekonomických problémov: </w:t>
      </w:r>
    </w:p>
    <w:p w:rsidR="00071B02" w:rsidRDefault="008F460B">
      <w:pPr>
        <w:numPr>
          <w:ilvl w:val="0"/>
          <w:numId w:val="9"/>
        </w:numPr>
        <w:spacing w:after="67" w:line="267" w:lineRule="auto"/>
        <w:ind w:right="141" w:hanging="360"/>
      </w:pPr>
      <w:r>
        <w:rPr>
          <w:b/>
        </w:rPr>
        <w:t xml:space="preserve">Integrácia a inklúzia marginalizovaných rómskych komunít a študentov zo sociálne znevýhodneného prostredia </w:t>
      </w:r>
    </w:p>
    <w:p w:rsidR="00071B02" w:rsidRDefault="008F460B">
      <w:pPr>
        <w:numPr>
          <w:ilvl w:val="0"/>
          <w:numId w:val="9"/>
        </w:numPr>
        <w:spacing w:after="53" w:line="265" w:lineRule="auto"/>
        <w:ind w:right="141" w:hanging="360"/>
      </w:pPr>
      <w:r>
        <w:rPr>
          <w:b/>
        </w:rPr>
        <w:t>Prepojenie systému výchovy a vzdeláva</w:t>
      </w:r>
      <w:r>
        <w:rPr>
          <w:b/>
        </w:rPr>
        <w:t xml:space="preserve">nia s potrebami ekonomiky a trhu práce </w:t>
      </w:r>
    </w:p>
    <w:p w:rsidR="00071B02" w:rsidRDefault="008F460B">
      <w:pPr>
        <w:numPr>
          <w:ilvl w:val="0"/>
          <w:numId w:val="9"/>
        </w:numPr>
        <w:spacing w:after="257" w:line="267" w:lineRule="auto"/>
        <w:ind w:right="141" w:hanging="360"/>
      </w:pPr>
      <w:r>
        <w:rPr>
          <w:b/>
        </w:rPr>
        <w:t xml:space="preserve">Rozvoj systému neformálneho vzdelávania. </w:t>
      </w:r>
    </w:p>
    <w:p w:rsidR="00071B02" w:rsidRDefault="008F460B">
      <w:pPr>
        <w:pStyle w:val="Nadpis4"/>
        <w:spacing w:after="123"/>
        <w:ind w:left="-5"/>
      </w:pPr>
      <w:r>
        <w:t xml:space="preserve">3.3.2.1. Integrácia a inklúzia marginalizovaných rómskych komunít a študentov zo sociálne znevýhodneného prostredia </w:t>
      </w:r>
    </w:p>
    <w:p w:rsidR="00071B02" w:rsidRDefault="008F460B">
      <w:pPr>
        <w:spacing w:after="129"/>
        <w:ind w:right="196"/>
      </w:pPr>
      <w:r>
        <w:t xml:space="preserve">V rámci inkluzívneho vzdelávania sa dieťa nezačleňuje do </w:t>
      </w:r>
      <w:r>
        <w:t>školského kolektívu tak, aby napredovalo zároveň s kolektívom. Naopak, je mu umožnené napredovať individuálnym tempom a v rozsahu, ktorý dovoľuje jeho reálny potenciál. Súčasný stav a problémy v oblasti inkluzívneho vzdelávania sú podrobne charakterizované</w:t>
      </w:r>
      <w:r>
        <w:t xml:space="preserve"> v dokumente „Učiace sa Slovensko“. Už o samotnom ponímaní potenciálu detí a jeho rôznorodosti prebieha v odbornej verejnosti u nás aj v zahraničí diskurz. Ten je vyvolaný rôznymi východiskami, z ktorých sa na dispozície dieťaťa nahliada. Obsahy pojmov tal</w:t>
      </w:r>
      <w:r>
        <w:t xml:space="preserve">ent, nadanie a rozvojový potenciál detí sa v niektorých konceptoch v rôznej miere prekrývajú, v iných nie.  </w:t>
      </w:r>
    </w:p>
    <w:p w:rsidR="00071B02" w:rsidRDefault="008F460B">
      <w:pPr>
        <w:spacing w:after="127"/>
        <w:ind w:right="194"/>
      </w:pPr>
      <w:r>
        <w:t>Na stanovovanie si inkluzívnych cieľov v širšom rozsahu nie sú spravidla pripravení na Slovensku ani učitelia, ani zriaďovatelia škôl a ani očakáva</w:t>
      </w:r>
      <w:r>
        <w:t>nia zo strany rezortu školstva neboli doposiaľ takto formulované. To ovplyvňuje aj očakávania rodičov. Tie môžu byť jednak príliš pesimistické a volia pre svoje dieťa vzdelávanie, ktoré naplno nerozvinie jeho potenciál alebo naopak príliš optimistické až n</w:t>
      </w:r>
      <w:r>
        <w:t>erealistické v očakávaní inklúzie v úplne všetkých oblastiach života a všetkých jeho aspektoch. Tradičný problém vzťahu rodiny a školy je v týchto súvislostiach ešte vypuklejší. Na jednej strane rodina vníma často školu a vzdelávanie ako nutné zlo, keďže z</w:t>
      </w:r>
      <w:r>
        <w:t>mysel pre vzdelávanie v nej absentuje. Školu dokonca často vníma represívnu, nie bezpečnú a obvykle si želá, aby sa dieťa čo najskôr vrátilo do svojej komunity a začalo sa aktívne podieľať na jej chode (starostlivosť o mladších súrodencov, každodenné živob</w:t>
      </w:r>
      <w:r>
        <w:t>ytie, atď.).</w:t>
      </w:r>
      <w:r>
        <w:rPr>
          <w:vertAlign w:val="superscript"/>
        </w:rPr>
        <w:footnoteReference w:id="9"/>
      </w:r>
      <w:r>
        <w:t xml:space="preserve"> Na druhej strane škola ako spoločenská inštitúcia si želá, aby deti zotrvávali vo vzdelávaní čo najdlhšie a rástli do spôsobilosti vymaniť sa zo špirály chudoby a sociálneho úpadku a aby sa ich osobnosť, ako ich najlepší záujem, rozvíjala. Je</w:t>
      </w:r>
      <w:r>
        <w:t xml:space="preserve"> treba však tiež konštatovať, že existuje, a často v plnení čiastkových funkcií aj uspokojivo funguje, viacero zložiek, ktoré sa po ich preskupení a systematizácii môžu podieľať na úspešnom rozvoji inkluzívneho </w:t>
      </w:r>
      <w:r>
        <w:lastRenderedPageBreak/>
        <w:t>vzdelávania a jeho uvedení do života. V inklu</w:t>
      </w:r>
      <w:r>
        <w:t xml:space="preserve">zívnom vzdelávaní sa využije to dobré, čo v doterajšom systéme existuje. </w:t>
      </w:r>
    </w:p>
    <w:p w:rsidR="00071B02" w:rsidRDefault="008F460B">
      <w:pPr>
        <w:spacing w:after="128"/>
        <w:ind w:right="199"/>
      </w:pPr>
      <w:r>
        <w:t>NPRVV nadväzuje a ďalej rozvíja už existujúce a fungujúce zložky inkluzívneho vzdelávania v SR. Vo všeobecnosti sú opatrenia NPRVV v mnohom inšpirované fínskym modelom výchovy a vzde</w:t>
      </w:r>
      <w:r>
        <w:t xml:space="preserve">lávania, ktorý patrí medzi medzinárodne najuznávanejšie modely a dlhodobo dosahuje popredné miesta v medzinárodných testovaniach vzdelávacích výstupov. Výsledný model by mal ďalej redukovať stupeň segmentácie a segregácie slovenského vzdelávacieho systému </w:t>
      </w:r>
      <w:r>
        <w:t xml:space="preserve">a zvýšiť mieru integrácie a inklúzie. </w:t>
      </w:r>
    </w:p>
    <w:p w:rsidR="00071B02" w:rsidRDefault="008F460B">
      <w:pPr>
        <w:spacing w:after="106"/>
      </w:pPr>
      <w:r>
        <w:t>Závažným problémom Slovenskej spoločnosti je postoj k ľuďom žijúcim v extrémnej chudobe v marginalizovaných komunitách a v sociálne vylúčených spoločenstvách. Sú to prevažne, ale nielen, Rómovia</w:t>
      </w:r>
      <w:r>
        <w:rPr>
          <w:vertAlign w:val="superscript"/>
        </w:rPr>
        <w:footnoteReference w:id="10"/>
      </w:r>
      <w:r>
        <w:t>. Na národnej aj medzi</w:t>
      </w:r>
      <w:r>
        <w:t xml:space="preserve">národnej úrovni je všeobecná politická i odborná zhoda, že jedným z najkľúčovejších faktorov zmien vo zvyšovaní kohézie medzi majoritnou spoločnosťou a marginalizovanými komunitami je úroveň vzdelania.  </w:t>
      </w:r>
    </w:p>
    <w:p w:rsidR="00071B02" w:rsidRDefault="008F460B">
      <w:pPr>
        <w:spacing w:after="119"/>
        <w:ind w:right="197"/>
      </w:pPr>
      <w:r>
        <w:t>NPRVV kladie osobitný dôraz na integráciu žiakov a š</w:t>
      </w:r>
      <w:r>
        <w:t>tudentov žijúcim v extrémnej chudobe v marginalizovaných komunitách a v sociálne vylúčených spoločenstvách (sú to prevažne, ale nielen, Rómovia</w:t>
      </w:r>
      <w:r>
        <w:rPr>
          <w:vertAlign w:val="superscript"/>
        </w:rPr>
        <w:footnoteReference w:id="11"/>
      </w:r>
      <w:r>
        <w:t>), ako aj na zvýšenie kvality výchovy a vzdelávania vo vzťahu k týmto skupinám. Uvedené ciele sa dosiahnu kombin</w:t>
      </w:r>
      <w:r>
        <w:t>áciou všeobecných opatrení relevantných pre tieto skupiny (napríklad posilnenie financovania a aktivít školských klubov detí, zavedenie povinnej zaškolenosti v materských školách minimálne rok pred nástupom na základnú školu a pod.) so špecifickými opatren</w:t>
      </w:r>
      <w:r>
        <w:t xml:space="preserve">iami (napr. podpora vydávania učebných materiálov v rómskom jazyku, rozširovanie kapacít materských a základných škôl a pod.).  </w:t>
      </w:r>
    </w:p>
    <w:p w:rsidR="00071B02" w:rsidRDefault="008F460B">
      <w:pPr>
        <w:spacing w:after="82"/>
        <w:ind w:right="195"/>
      </w:pPr>
      <w:r>
        <w:t>NPRVV pracuje s pojmom integrácie v horizontálnom smere (napr. integrovaním žiakov so špeciálnymi vzdelávacími potrebami v rámc</w:t>
      </w:r>
      <w:r>
        <w:t>i rovnakého stupňa vzdelávania), aj vo vertikálnom smere (napr. zapojením žiakov a študentov v určitom rozsahu do procesov na vyššom stupni vzdelávania). Vertikálna integrácia napomáha nielen adaptácii či motivácii žiakov a študentov, ale rozširuje možnost</w:t>
      </w:r>
      <w:r>
        <w:t xml:space="preserve">i rozvoja osobitného nadania či talentu. Fínsky vzdelávací model nepozná špeciálne školy pre osobitne nadané deti a pracuje s premisou, že každé dieťa má určitý talent, ktorý by malo mať možnosť rozvíjať v rámci hlavného prúdu vzdelávania bez vyčleňovania </w:t>
      </w:r>
      <w:r>
        <w:t xml:space="preserve">istej skupiny talentovaných detí do špeciálnych škôl. V súlade s uvedeným princípom sa NPRVV sústreďuje na postupné znižovanie a perspektívne úplné vylúčenie podielu škôl </w:t>
      </w:r>
      <w:r>
        <w:lastRenderedPageBreak/>
        <w:t>určených pre osobitne talentované či nadané deti.</w:t>
      </w:r>
      <w:r>
        <w:rPr>
          <w:vertAlign w:val="superscript"/>
        </w:rPr>
        <w:footnoteReference w:id="12"/>
      </w:r>
      <w:r>
        <w:t xml:space="preserve"> Školské prostredie kladie dôraz na</w:t>
      </w:r>
      <w:r>
        <w:t xml:space="preserve"> flexibilitu prístupov k žiakom a študentom v rámci vzdelávacieho procesu v spoločnej triede.  </w:t>
      </w:r>
    </w:p>
    <w:p w:rsidR="00071B02" w:rsidRDefault="008F460B">
      <w:pPr>
        <w:spacing w:after="124"/>
        <w:ind w:right="200"/>
      </w:pPr>
      <w:r>
        <w:t xml:space="preserve">NPRVV si kladie za cieľ zvyšovať mieru integrácie žiakov a študentov so špeciálnymi výchovnými a vzdelávacími potrebami (ŠVVP). Výsledný model však neráta s </w:t>
      </w:r>
      <w:r>
        <w:t xml:space="preserve">úplným zánikom špeciálnych škôl resp. s úplnou integráciou žiakov a študentov so ŠVVP. </w:t>
      </w:r>
    </w:p>
    <w:p w:rsidR="00071B02" w:rsidRDefault="008F460B">
      <w:pPr>
        <w:spacing w:after="215"/>
        <w:ind w:right="195"/>
      </w:pPr>
      <w:r>
        <w:t>Osobitnou a významnou spoločenskou témou, ktorá vstupuje do aplikačnej praxe štátnych politík, sú predsudky s rasistickými, xenofóbnymi až diskriminačnými črtami v škol</w:t>
      </w:r>
      <w:r>
        <w:t xml:space="preserve">skom prostredí zo strany zamestnancov voči žiakom aj medzi žiakmi navzájom.  </w:t>
      </w:r>
    </w:p>
    <w:p w:rsidR="00071B02" w:rsidRDefault="008F460B">
      <w:pPr>
        <w:pStyle w:val="Nadpis4"/>
        <w:spacing w:after="132"/>
        <w:ind w:left="-5"/>
      </w:pPr>
      <w:r>
        <w:t xml:space="preserve">3.3.2.2. Prepojenie systému výchovy a vzdelávania s potrebami ekonomiky a trhu práce </w:t>
      </w:r>
    </w:p>
    <w:p w:rsidR="00071B02" w:rsidRDefault="008F460B">
      <w:r>
        <w:t>Štrukturálny súlad medzi systémom vzdelávania a potrebami ekonomiky resp. trhu práce je význ</w:t>
      </w:r>
      <w:r>
        <w:t xml:space="preserve">amným faktorom rozvoja ekonomiky a zlepšovania sociálnej situácie obyvateľstva. </w:t>
      </w:r>
    </w:p>
    <w:p w:rsidR="00071B02" w:rsidRDefault="008F460B">
      <w:pPr>
        <w:spacing w:after="131"/>
        <w:ind w:right="204"/>
      </w:pPr>
      <w:r>
        <w:t>Štrukturálny nesúlad je jednou z príčin nezamestnanosti. Ide najmä o tzv. štrukturálnu nezamestnanosť, ktorá je charakteristická koexistenciou voľných pracovných miest a nezam</w:t>
      </w:r>
      <w:r>
        <w:t xml:space="preserve">estnaných s iným vzdelaním než vyžadujú dané pracovné miesta.  </w:t>
      </w:r>
    </w:p>
    <w:p w:rsidR="00071B02" w:rsidRDefault="008F460B">
      <w:pPr>
        <w:spacing w:after="131"/>
        <w:ind w:right="197"/>
      </w:pPr>
      <w:r>
        <w:t>Dôležitým indikátorom súladu výstupov odborného vzdelávania a potrieb trhu práce je nezamestnanosť absolventov. Vývoj priemerných sezónnych hodnôt nezamestnanosti v rokoch 2007 až 2015 podľa t</w:t>
      </w:r>
      <w:r>
        <w:t xml:space="preserve">ypov odborného vzdelávania a jej porovnanie s nezamestnanosťou absolventov gymnázií ilustruje obrázok 3.7. </w:t>
      </w:r>
    </w:p>
    <w:p w:rsidR="00071B02" w:rsidRDefault="008F460B">
      <w:pPr>
        <w:spacing w:after="135"/>
        <w:ind w:right="197"/>
      </w:pPr>
      <w:r>
        <w:t>Sumárne čísla však odrážajú skôr celkovú mieru nezamestnanosti v ekonomike. Relevantnosť výstupov odborného vzdelávania a prípravy vo vzťahu k potre</w:t>
      </w:r>
      <w:r>
        <w:t xml:space="preserve">bám trhu práce sa prejaví viac pri pohľade na štruktúru nezamestnaných absolventov podľa odborov vzdelávania a skupín odborov vzdelávania. Ilustruje to tabuľka 3.2 </w:t>
      </w:r>
    </w:p>
    <w:p w:rsidR="00071B02" w:rsidRDefault="008F460B">
      <w:pPr>
        <w:spacing w:after="118" w:line="267" w:lineRule="auto"/>
        <w:ind w:left="576"/>
      </w:pPr>
      <w:r>
        <w:rPr>
          <w:b/>
        </w:rPr>
        <w:t xml:space="preserve">Obrázok 3.7 Vývoj absolventskej miery nezamestnanosti v sezónach 2007/08 až 2015/16 </w:t>
      </w:r>
    </w:p>
    <w:p w:rsidR="00071B02" w:rsidRDefault="008F460B">
      <w:pPr>
        <w:spacing w:after="0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848350" cy="3467100"/>
            <wp:effectExtent l="0" t="0" r="0" b="0"/>
            <wp:docPr id="7742" name="Picture 7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" name="Picture 774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71B02" w:rsidRDefault="008F460B">
      <w:pPr>
        <w:spacing w:after="16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7" w:line="268" w:lineRule="auto"/>
        <w:ind w:left="-5"/>
      </w:pPr>
      <w:r>
        <w:rPr>
          <w:i/>
        </w:rPr>
        <w:t xml:space="preserve">Zdroj: CVTI SR </w:t>
      </w:r>
    </w:p>
    <w:p w:rsidR="00071B02" w:rsidRDefault="008F460B">
      <w:pPr>
        <w:spacing w:after="24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:rsidR="00071B02" w:rsidRDefault="008F460B">
      <w:pPr>
        <w:spacing w:after="0" w:line="267" w:lineRule="auto"/>
        <w:ind w:left="-5" w:right="200"/>
      </w:pPr>
      <w:r>
        <w:rPr>
          <w:b/>
        </w:rPr>
        <w:t xml:space="preserve">Tabuľka 3.2 Počty nezamestnaných a miera nezamestnanosti absolventov stredných škôl podľa typov vzdelávacích programov a skupín odborov – stav v máji 2016 </w:t>
      </w:r>
    </w:p>
    <w:tbl>
      <w:tblPr>
        <w:tblStyle w:val="TableGrid"/>
        <w:tblW w:w="8208" w:type="dxa"/>
        <w:tblInd w:w="433" w:type="dxa"/>
        <w:tblCellMar>
          <w:top w:w="53" w:type="dxa"/>
          <w:left w:w="48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3777"/>
        <w:gridCol w:w="1107"/>
        <w:gridCol w:w="1107"/>
        <w:gridCol w:w="1108"/>
        <w:gridCol w:w="1109"/>
      </w:tblGrid>
      <w:tr w:rsidR="00071B02">
        <w:trPr>
          <w:trHeight w:val="1216"/>
        </w:trPr>
        <w:tc>
          <w:tcPr>
            <w:tcW w:w="377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62" w:lineRule="auto"/>
              <w:ind w:left="277" w:hanging="69"/>
            </w:pPr>
            <w:r>
              <w:rPr>
                <w:rFonts w:ascii="Calibri" w:eastAsia="Calibri" w:hAnsi="Calibri" w:cs="Calibri"/>
                <w:b/>
                <w:sz w:val="19"/>
              </w:rPr>
              <w:t xml:space="preserve">Počty nezamestnaných a miera nezamestnanosti absolventov </w:t>
            </w:r>
          </w:p>
          <w:p w:rsidR="00071B02" w:rsidRDefault="008F460B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b/>
                <w:sz w:val="19"/>
              </w:rPr>
              <w:t>v máji 2016</w:t>
            </w:r>
          </w:p>
        </w:tc>
        <w:tc>
          <w:tcPr>
            <w:tcW w:w="221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Calibri" w:eastAsia="Calibri" w:hAnsi="Calibri" w:cs="Calibri"/>
                <w:b/>
                <w:sz w:val="19"/>
              </w:rPr>
              <w:t>Študijné odbory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Calibri" w:eastAsia="Calibri" w:hAnsi="Calibri" w:cs="Calibri"/>
                <w:b/>
                <w:sz w:val="19"/>
              </w:rPr>
              <w:t>Učebné odbory</w:t>
            </w:r>
          </w:p>
        </w:tc>
      </w:tr>
      <w:tr w:rsidR="00071B02">
        <w:trPr>
          <w:trHeight w:val="25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71B02" w:rsidRDefault="00071B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right="16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Počet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Miera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right="17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Počet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right="9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Miera</w:t>
            </w:r>
          </w:p>
        </w:tc>
      </w:tr>
      <w:tr w:rsidR="00071B02">
        <w:trPr>
          <w:trHeight w:val="469"/>
        </w:trPr>
        <w:tc>
          <w:tcPr>
            <w:tcW w:w="377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9"/>
              </w:rPr>
              <w:t>Technické odbory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1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1 897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3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8,50%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1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1 367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6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15,32%</w:t>
            </w:r>
          </w:p>
        </w:tc>
      </w:tr>
      <w:tr w:rsidR="00071B02">
        <w:trPr>
          <w:trHeight w:val="512"/>
        </w:trPr>
        <w:tc>
          <w:tcPr>
            <w:tcW w:w="377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right="733" w:firstLine="0"/>
              <w:jc w:val="left"/>
            </w:pPr>
            <w:r>
              <w:rPr>
                <w:rFonts w:ascii="Calibri" w:eastAsia="Calibri" w:hAnsi="Calibri" w:cs="Calibri"/>
                <w:sz w:val="19"/>
              </w:rPr>
              <w:t>Poľnohospodársko-lesnícke a veterinárne odbory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167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3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8,54%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1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166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6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24,92%</w:t>
            </w:r>
          </w:p>
        </w:tc>
      </w:tr>
      <w:tr w:rsidR="00071B02">
        <w:trPr>
          <w:trHeight w:val="480"/>
        </w:trPr>
        <w:tc>
          <w:tcPr>
            <w:tcW w:w="377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9"/>
              </w:rPr>
              <w:t>Lekárske a farmaceutické odbory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176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3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4,85%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9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10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.</w:t>
            </w:r>
          </w:p>
        </w:tc>
      </w:tr>
      <w:tr w:rsidR="00071B02">
        <w:trPr>
          <w:trHeight w:val="544"/>
        </w:trPr>
        <w:tc>
          <w:tcPr>
            <w:tcW w:w="377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9"/>
              </w:rPr>
              <w:t>Spoločenské odbory a služby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1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2 614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3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9,75%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1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979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1B02" w:rsidRDefault="008F460B">
            <w:pPr>
              <w:spacing w:after="0" w:line="259" w:lineRule="auto"/>
              <w:ind w:left="0" w:right="6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15,99%</w:t>
            </w:r>
          </w:p>
        </w:tc>
      </w:tr>
      <w:tr w:rsidR="00071B02">
        <w:trPr>
          <w:trHeight w:val="384"/>
        </w:trPr>
        <w:tc>
          <w:tcPr>
            <w:tcW w:w="377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9"/>
              </w:rPr>
              <w:t>Kultúra a umenie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303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right="3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8,07%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11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71B02" w:rsidRDefault="008F460B">
            <w:pPr>
              <w:spacing w:after="0" w:line="259" w:lineRule="auto"/>
              <w:ind w:left="0" w:right="6" w:firstLine="0"/>
              <w:jc w:val="right"/>
            </w:pPr>
            <w:r>
              <w:rPr>
                <w:rFonts w:ascii="Calibri" w:eastAsia="Calibri" w:hAnsi="Calibri" w:cs="Calibri"/>
                <w:sz w:val="19"/>
              </w:rPr>
              <w:t>27,50%</w:t>
            </w:r>
          </w:p>
        </w:tc>
      </w:tr>
    </w:tbl>
    <w:p w:rsidR="00071B02" w:rsidRDefault="008F460B">
      <w:pPr>
        <w:spacing w:after="170" w:line="268" w:lineRule="auto"/>
        <w:ind w:left="-5"/>
      </w:pPr>
      <w:r>
        <w:rPr>
          <w:i/>
        </w:rPr>
        <w:t xml:space="preserve">Zdroj: CVTI SR </w:t>
      </w:r>
    </w:p>
    <w:p w:rsidR="00071B02" w:rsidRDefault="008F460B">
      <w:pPr>
        <w:spacing w:after="130"/>
        <w:ind w:right="200"/>
      </w:pPr>
      <w:r>
        <w:t xml:space="preserve">Štandardnou súčasťou odborného vzdelávania a </w:t>
      </w:r>
      <w:r>
        <w:t xml:space="preserve">prípravy je praktické vyučovanie. Praktické vyučovanie sa uskutočňuje v dielni, na pracovisku zamestnávateľa alebo na pracovisku praktického vyučovania, ak sa žiak pripravuje v systéme duálneho vzdelávania, prípadne na inom mieste ak to vyžaduje charakter </w:t>
      </w:r>
      <w:r>
        <w:t xml:space="preserve">povolania, na ktoré sa žiak pripravuje. </w:t>
      </w:r>
    </w:p>
    <w:p w:rsidR="00071B02" w:rsidRDefault="008F460B">
      <w:pPr>
        <w:spacing w:after="131"/>
        <w:ind w:right="195"/>
      </w:pPr>
      <w:r>
        <w:lastRenderedPageBreak/>
        <w:t>V školskom roku 2016/2017 absolvovalo praktické vyučovanie priamo u zamestnávateľov 23,7 % žiakov stredných odborných škôl. V roku 2013 to bolo 3,8 %. Tento trend je pozitívny, vzhľadom na to, že praktické vyučovani</w:t>
      </w:r>
      <w:r>
        <w:t xml:space="preserve">e vykonávané priamo u zamestnávateľov zvyšuje kvalitu praktickej prípravy žiakov a to z dôvodu, že umožní poznať reálne prostredie výkonu povolania, rozvíjať u žiakov pracovné návyky, nevyhnutné na úspešné zaradenie sa na trh práce po ukončení štúdia.  </w:t>
      </w:r>
    </w:p>
    <w:p w:rsidR="00071B02" w:rsidRDefault="008F460B">
      <w:pPr>
        <w:spacing w:after="120"/>
        <w:ind w:right="195"/>
      </w:pPr>
      <w:r>
        <w:t xml:space="preserve">V </w:t>
      </w:r>
      <w:r>
        <w:t>nadväznosti na prvé 2 roky skúseností so systémom duálneho vzdelávania pristúpilo ministerstvo po konzultáciách so všetkými zainteresovanými inštitúciami k novelizácii zákona o odbornom vzdelávaní, ktorá má nadobudnúť účinnosť k 1. septembru 2018. Predmeto</w:t>
      </w:r>
      <w:r>
        <w:t xml:space="preserve">m novely je optimalizácia procesov a koordinácie odborného vzdelávania a prípravy za účelom jeho ešte vyššej atraktivity a kvality. Obrázok 3.8 poskytuje prehľad o reformných opatreniach, zameraných na zosúladenie vzdelávania s potrebami trhu práce, ktoré </w:t>
      </w:r>
      <w:r>
        <w:t xml:space="preserve">boli prijaté v roku 2017-2018, resp. budú prijaté v roku 2019. </w:t>
      </w:r>
    </w:p>
    <w:p w:rsidR="00071B02" w:rsidRDefault="008F460B">
      <w:pPr>
        <w:spacing w:after="92"/>
        <w:ind w:right="195"/>
      </w:pPr>
      <w:r>
        <w:t xml:space="preserve">Podľa údajov Ústredia práce, sociálnych vecí a rodiny SR bolo v evidencii uchádzačov o zamestnanie v decembri 2016 z verejných a súkromných vysokých škôl </w:t>
      </w:r>
      <w:r>
        <w:rPr>
          <w:b/>
        </w:rPr>
        <w:t>3 776</w:t>
      </w:r>
      <w:r>
        <w:t xml:space="preserve"> uchádzačov - absolventov vysokýc</w:t>
      </w:r>
      <w:r>
        <w:t>h škôl</w:t>
      </w:r>
      <w:r>
        <w:rPr>
          <w:vertAlign w:val="superscript"/>
        </w:rPr>
        <w:footnoteReference w:id="13"/>
      </w:r>
      <w:r>
        <w:rPr>
          <w:vertAlign w:val="superscript"/>
        </w:rPr>
        <w:t>)</w:t>
      </w:r>
      <w:r>
        <w:t xml:space="preserve">, z ktorých bolo </w:t>
      </w:r>
      <w:r>
        <w:rPr>
          <w:b/>
        </w:rPr>
        <w:t>3 062</w:t>
      </w:r>
      <w:r>
        <w:t xml:space="preserve"> absolventov druhého, </w:t>
      </w:r>
      <w:r>
        <w:rPr>
          <w:b/>
        </w:rPr>
        <w:t>711</w:t>
      </w:r>
      <w:r>
        <w:t xml:space="preserve"> absolventov prvého a traja absolventi tretieho stupňa. Z celkového počtu evidovaných absolventov verejných a súkromných vysokých škôl bolo 5,80 % v evidencii viac ako dvanásť mesiacov. Najviac absolve</w:t>
      </w:r>
      <w:r>
        <w:t>ntov bolo v evidencii sedem až deväť mesiacov (58,00 %). Z hľadiska odboru vzdelania, približne 61,4 % nezamestnaných absolventov získalo diplom v spoločenských vedách, náukách a službách a približne 6,2 % nezamestnaných absolventov skončilo technické vedy</w:t>
      </w:r>
      <w:r>
        <w:t xml:space="preserve"> a náuky.  </w:t>
      </w:r>
    </w:p>
    <w:p w:rsidR="00071B02" w:rsidRDefault="008F460B">
      <w:pPr>
        <w:spacing w:after="138"/>
        <w:ind w:right="196"/>
      </w:pPr>
      <w:r>
        <w:t xml:space="preserve">Treba poznamenať, že miera nezamestnanosti na Slovensku dosiahla v roku 2017 historicky najnižšie hodnoty od roku 1991. V dôsledku rozvoja priemyslu a demografického vývoja budú mnohí zamestnávatelia čeliť nedostatku kvalifikovaných pracovných </w:t>
      </w:r>
      <w:r>
        <w:t>síl nielen z dôvodu štrukturálneho nesúladu, ale aj z dôvodu agregovaného nedostatku pracovných síl. Zásadným cieľom NPRVV je preto riešiť situáciu radom vzájomne súvisiacich opatrení, ktoré sú obsiahnuté v rôznych častiach implementačného plánu a sú zamer</w:t>
      </w:r>
      <w:r>
        <w:t>ané na zlepšenie mechanizmov zosúlaďovania vzdelávania a potrieb trhu práce, zníženia miery úniku študentov a kvalifikovaných pracovných síl mimo SR, zvýšenie kvality vyučovacieho procesu najmä na stredných a vysokých školách, zmeny v plánovaní výkonov str</w:t>
      </w:r>
      <w:r>
        <w:t xml:space="preserve">edného školstva, zavedenie pružnejších foriem uplatnenia absolventov VS zmenami v bakalárskom štúdiu, rozvojom systému celoživotného vzdelávania a pod. </w:t>
      </w:r>
    </w:p>
    <w:p w:rsidR="00071B02" w:rsidRDefault="008F460B">
      <w:pPr>
        <w:spacing w:after="0" w:line="402" w:lineRule="auto"/>
        <w:ind w:left="-5" w:right="107"/>
      </w:pPr>
      <w:r>
        <w:rPr>
          <w:b/>
        </w:rPr>
        <w:t xml:space="preserve">Obr. 3.8 </w:t>
      </w:r>
      <w:r>
        <w:rPr>
          <w:b/>
        </w:rPr>
        <w:tab/>
        <w:t>Prierezová priorita 2: Prepojenie systému výchovy a vzdelávania Opatrenia v období 2017 – 201</w:t>
      </w:r>
      <w:r>
        <w:rPr>
          <w:b/>
        </w:rPr>
        <w:t xml:space="preserve">9 </w:t>
      </w:r>
    </w:p>
    <w:p w:rsidR="00071B02" w:rsidRDefault="008F460B">
      <w:pPr>
        <w:spacing w:after="200" w:line="259" w:lineRule="auto"/>
        <w:ind w:left="0" w:right="629" w:firstLine="0"/>
        <w:jc w:val="right"/>
      </w:pPr>
      <w:r>
        <w:rPr>
          <w:noProof/>
        </w:rPr>
        <w:lastRenderedPageBreak/>
        <w:drawing>
          <wp:inline distT="0" distB="0" distL="0" distR="0">
            <wp:extent cx="5448300" cy="3914775"/>
            <wp:effectExtent l="0" t="0" r="0" b="0"/>
            <wp:docPr id="8075" name="Picture 8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Picture 8075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71B02" w:rsidRDefault="008F460B">
      <w:pPr>
        <w:pStyle w:val="Nadpis4"/>
        <w:spacing w:after="137"/>
        <w:ind w:left="-5"/>
      </w:pPr>
      <w:r>
        <w:t xml:space="preserve">3.3.2.3. Rozvoj systému neformálneho vzdelávania </w:t>
      </w:r>
    </w:p>
    <w:p w:rsidR="00071B02" w:rsidRDefault="008F460B">
      <w:pPr>
        <w:spacing w:after="67" w:line="267" w:lineRule="auto"/>
        <w:ind w:left="-5"/>
      </w:pPr>
      <w:r>
        <w:rPr>
          <w:b/>
        </w:rPr>
        <w:t xml:space="preserve">CŽV sa stalo faktorom celoeurópskeho významu už po schválení Lisabonskej stratégie. </w:t>
      </w:r>
    </w:p>
    <w:p w:rsidR="00071B02" w:rsidRDefault="008F460B">
      <w:pPr>
        <w:ind w:right="196"/>
      </w:pPr>
      <w:r>
        <w:t>EU dokument “Making a European Area of Lifelong Learning a Reality” (2001) definovala CŽV ako všetky učiace aktivity v procese života, ktoré sú zamerané na zlepšenie vedomostí, návykov a kompetencií v rámci osobnej, občianskej, spoločenskej a/alebo pracovn</w:t>
      </w:r>
      <w:r>
        <w:t xml:space="preserve">ej perspektívy. Dokument “Resolution on Lifelong Learning” by the Education Council (2001) prehlásil CŽV za jednu z hlavných koncepcií podpory európskeho rastu.  </w:t>
      </w:r>
    </w:p>
    <w:p w:rsidR="00071B02" w:rsidRDefault="008F460B">
      <w:pPr>
        <w:ind w:right="196"/>
      </w:pPr>
      <w:r>
        <w:t>Celoživotné vzdelávanie ďalej rástlo na význame a v súčasnosti zohráva prominentnú úlohu v st</w:t>
      </w:r>
      <w:r>
        <w:t>ratégii Európa 2020 ako jeden z hlavných faktorov inteligentného rastu založeného na inováciách.</w:t>
      </w:r>
      <w:r>
        <w:rPr>
          <w:b/>
        </w:rPr>
        <w:t xml:space="preserve"> </w:t>
      </w:r>
      <w:r>
        <w:t xml:space="preserve">Stratégia Európa 2020 obsahuje nasledovný cieľový ukazovateľ v oblasti CŽV: </w:t>
      </w:r>
    </w:p>
    <w:p w:rsidR="00071B02" w:rsidRDefault="008F460B">
      <w:pPr>
        <w:spacing w:after="170" w:line="268" w:lineRule="auto"/>
        <w:ind w:left="-5"/>
      </w:pPr>
      <w:r>
        <w:rPr>
          <w:i/>
        </w:rPr>
        <w:t>„Do roku 2020 aspoň 15 % dospelej populácie (vo veku 25 až 64 rokov) by sa malo zú</w:t>
      </w:r>
      <w:r>
        <w:rPr>
          <w:i/>
        </w:rPr>
        <w:t xml:space="preserve">častňovať procesu celoživotného vzdelávania.“ </w:t>
      </w:r>
    </w:p>
    <w:p w:rsidR="00071B02" w:rsidRDefault="008F460B">
      <w:pPr>
        <w:spacing w:after="145"/>
      </w:pPr>
      <w:r>
        <w:t xml:space="preserve">Celoživotné vzdelávanie zahŕňa procesy formálneho, neformálneho, informálneho učenia sa. Základné kritériá, ktoré sa používajú na vymedzenie týchto pojmov sú nasledovné: </w:t>
      </w:r>
    </w:p>
    <w:p w:rsidR="00071B02" w:rsidRDefault="008F460B">
      <w:pPr>
        <w:numPr>
          <w:ilvl w:val="0"/>
          <w:numId w:val="10"/>
        </w:numPr>
        <w:ind w:hanging="360"/>
      </w:pPr>
      <w:r>
        <w:t xml:space="preserve">Úmysel učiť sa </w:t>
      </w:r>
    </w:p>
    <w:p w:rsidR="00071B02" w:rsidRDefault="008F460B">
      <w:pPr>
        <w:numPr>
          <w:ilvl w:val="0"/>
          <w:numId w:val="10"/>
        </w:numPr>
        <w:ind w:hanging="360"/>
      </w:pPr>
      <w:r>
        <w:t>Štruktúra učebného pro</w:t>
      </w:r>
      <w:r>
        <w:t xml:space="preserve">gramu </w:t>
      </w:r>
    </w:p>
    <w:p w:rsidR="00071B02" w:rsidRDefault="008F460B">
      <w:pPr>
        <w:numPr>
          <w:ilvl w:val="0"/>
          <w:numId w:val="10"/>
        </w:numPr>
        <w:ind w:hanging="360"/>
      </w:pPr>
      <w:r>
        <w:t xml:space="preserve">Či je učenie inštitucionalizované  </w:t>
      </w:r>
    </w:p>
    <w:p w:rsidR="00071B02" w:rsidRDefault="008F460B">
      <w:pPr>
        <w:numPr>
          <w:ilvl w:val="0"/>
          <w:numId w:val="10"/>
        </w:numPr>
        <w:spacing w:after="133"/>
        <w:ind w:hanging="360"/>
      </w:pPr>
      <w:r>
        <w:t xml:space="preserve">Či vedie k udeleniu formálneho stupňa vzdelania v súlade s Národným kvalifikačným rámcom (NKR). </w:t>
      </w:r>
    </w:p>
    <w:p w:rsidR="00071B02" w:rsidRDefault="008F460B">
      <w:pPr>
        <w:spacing w:after="149"/>
        <w:ind w:right="192"/>
      </w:pPr>
      <w:r>
        <w:lastRenderedPageBreak/>
        <w:t>Uvedené kritériá využíva Európska komisia, CEDEFOP aj OECD. Keďže ich prístupy ku klasifikácií nie sú jednotné, NPRV</w:t>
      </w:r>
      <w:r>
        <w:t>V využíva klasifikáciu podľa EK. EK rozlišuje medzi učiacimi a neučiacimi aktivitami na základe dvoch kritérií – úmysel učiť sa a štruktúrovanosť učiaceho procesu. Učiaca aktivita musí byť charakterizovaná úmyslom učiť sa a musí spĺňať požiadavku štruktúro</w:t>
      </w:r>
      <w:r>
        <w:t xml:space="preserve">vanosti učiaceho procesu. Samotné učiace aktivity sa ďalej delia do skupín na základe ďalších dvoch kritérií – či je učenie inštitucionalizované a či vedie ku získaniu stupňa vzdelania v súlade s NKR: </w:t>
      </w:r>
    </w:p>
    <w:p w:rsidR="00071B02" w:rsidRDefault="008F460B">
      <w:pPr>
        <w:numPr>
          <w:ilvl w:val="0"/>
          <w:numId w:val="10"/>
        </w:numPr>
        <w:spacing w:after="34"/>
        <w:ind w:hanging="360"/>
      </w:pPr>
      <w:r>
        <w:t xml:space="preserve">Formálne učenie sa je inštitucionalizované a vedie ku </w:t>
      </w:r>
      <w:r>
        <w:t xml:space="preserve">získaniu stupňa vzdelania v súlade s NKR </w:t>
      </w:r>
    </w:p>
    <w:p w:rsidR="00071B02" w:rsidRDefault="008F460B">
      <w:pPr>
        <w:numPr>
          <w:ilvl w:val="0"/>
          <w:numId w:val="10"/>
        </w:numPr>
        <w:spacing w:after="29"/>
        <w:ind w:hanging="360"/>
      </w:pPr>
      <w:r>
        <w:t xml:space="preserve">Neformálne učenie sa nie je inštitucionalizované, ale obsahuje štruktúrované aktivity (napríklad kurzy) a nevedie ku získaniu stupňa vzdelania v súlade s NKR </w:t>
      </w:r>
    </w:p>
    <w:p w:rsidR="00071B02" w:rsidRDefault="008F460B">
      <w:pPr>
        <w:numPr>
          <w:ilvl w:val="0"/>
          <w:numId w:val="10"/>
        </w:numPr>
        <w:ind w:hanging="360"/>
      </w:pPr>
      <w:r>
        <w:t>Informálne učenie sa nie je inštitucionalizované, neobs</w:t>
      </w:r>
      <w:r>
        <w:t xml:space="preserve">ahuje štruktúrované aktivity </w:t>
      </w:r>
    </w:p>
    <w:p w:rsidR="00071B02" w:rsidRDefault="008F460B">
      <w:pPr>
        <w:spacing w:after="125"/>
        <w:ind w:left="730"/>
      </w:pPr>
      <w:r>
        <w:t xml:space="preserve">(napríklad kurzy) a nevedie ku získaniu stupňa vzdelania v súlade s NKR </w:t>
      </w:r>
    </w:p>
    <w:p w:rsidR="00071B02" w:rsidRDefault="008F460B">
      <w:pPr>
        <w:spacing w:after="0" w:line="267" w:lineRule="auto"/>
        <w:ind w:left="-5"/>
      </w:pPr>
      <w:r>
        <w:rPr>
          <w:b/>
        </w:rPr>
        <w:t xml:space="preserve">Tabuľka 3.3 Celoživotné vzdelávanie: vymedzenie pojmov </w:t>
      </w:r>
    </w:p>
    <w:tbl>
      <w:tblPr>
        <w:tblStyle w:val="TableGrid"/>
        <w:tblW w:w="9290" w:type="dxa"/>
        <w:tblInd w:w="-108" w:type="dxa"/>
        <w:tblCellMar>
          <w:top w:w="1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429"/>
        <w:gridCol w:w="4635"/>
        <w:gridCol w:w="3226"/>
      </w:tblGrid>
      <w:tr w:rsidR="00071B02">
        <w:trPr>
          <w:trHeight w:val="329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Učenie sa 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Kritériá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Príklady </w:t>
            </w:r>
          </w:p>
        </w:tc>
      </w:tr>
      <w:tr w:rsidR="00071B02">
        <w:trPr>
          <w:trHeight w:val="1279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65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071B02" w:rsidRDefault="008F46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Formálne 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63" w:line="259" w:lineRule="auto"/>
              <w:ind w:left="2" w:firstLine="0"/>
              <w:jc w:val="left"/>
            </w:pPr>
            <w:r>
              <w:t xml:space="preserve">Úmyselné </w:t>
            </w:r>
          </w:p>
          <w:p w:rsidR="00071B02" w:rsidRDefault="008F460B">
            <w:pPr>
              <w:spacing w:after="62" w:line="259" w:lineRule="auto"/>
              <w:ind w:left="2" w:firstLine="0"/>
              <w:jc w:val="left"/>
            </w:pPr>
            <w:r>
              <w:t xml:space="preserve">Štruktúrované ako učebný program </w:t>
            </w:r>
          </w:p>
          <w:p w:rsidR="00071B02" w:rsidRDefault="008F460B">
            <w:pPr>
              <w:spacing w:after="56" w:line="259" w:lineRule="auto"/>
              <w:ind w:left="2" w:firstLine="0"/>
              <w:jc w:val="left"/>
            </w:pPr>
            <w:r>
              <w:t xml:space="preserve">Inštitucionalizované </w:t>
            </w:r>
          </w:p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Vedie k úplnej kvalifikácii v súlade s NKR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</w:pPr>
            <w:r>
              <w:t xml:space="preserve">Učenie sa žiakov v ZŠ a SŠ, študentov na VŠ </w:t>
            </w:r>
          </w:p>
        </w:tc>
      </w:tr>
      <w:tr w:rsidR="00071B02">
        <w:trPr>
          <w:trHeight w:val="1280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65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071B02" w:rsidRDefault="008F460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Neformálne 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63" w:line="259" w:lineRule="auto"/>
              <w:ind w:left="2" w:firstLine="0"/>
              <w:jc w:val="left"/>
            </w:pPr>
            <w:r>
              <w:t xml:space="preserve">Úmyselné </w:t>
            </w:r>
          </w:p>
          <w:p w:rsidR="00071B02" w:rsidRDefault="008F460B">
            <w:pPr>
              <w:spacing w:after="66" w:line="259" w:lineRule="auto"/>
              <w:ind w:left="2" w:firstLine="0"/>
              <w:jc w:val="left"/>
            </w:pPr>
            <w:r>
              <w:t xml:space="preserve">Štruktúrované ako učebný program </w:t>
            </w:r>
          </w:p>
          <w:p w:rsidR="00071B02" w:rsidRDefault="008F460B">
            <w:pPr>
              <w:spacing w:after="63" w:line="259" w:lineRule="auto"/>
              <w:ind w:left="2" w:firstLine="0"/>
              <w:jc w:val="left"/>
            </w:pPr>
            <w:r>
              <w:t xml:space="preserve">Neinštitucionalizované </w:t>
            </w:r>
          </w:p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Nevedie k úplnej kvalifikácii v súlade s NKR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60" w:firstLine="0"/>
            </w:pPr>
            <w:r>
              <w:t xml:space="preserve">Školenie v </w:t>
            </w:r>
            <w:r>
              <w:t xml:space="preserve">zamestnaní, rekvalifikácia, účasť na prednáškach, seminároch, konferenciách, dištančné kurzy </w:t>
            </w:r>
          </w:p>
        </w:tc>
      </w:tr>
      <w:tr w:rsidR="00071B02">
        <w:trPr>
          <w:trHeight w:val="1279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65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071B02" w:rsidRDefault="008F460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Informálne 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53" w:line="259" w:lineRule="auto"/>
              <w:ind w:left="2" w:firstLine="0"/>
              <w:jc w:val="left"/>
            </w:pPr>
            <w:r>
              <w:t xml:space="preserve">Úmyselné alebo neúmyselné </w:t>
            </w:r>
          </w:p>
          <w:p w:rsidR="00071B02" w:rsidRDefault="008F460B">
            <w:pPr>
              <w:spacing w:after="65" w:line="259" w:lineRule="auto"/>
              <w:ind w:left="2" w:firstLine="0"/>
              <w:jc w:val="left"/>
            </w:pPr>
            <w:r>
              <w:t xml:space="preserve">Neštruktúrované ako učebný program </w:t>
            </w:r>
          </w:p>
          <w:p w:rsidR="00071B02" w:rsidRDefault="008F460B">
            <w:pPr>
              <w:spacing w:after="63" w:line="259" w:lineRule="auto"/>
              <w:ind w:left="2" w:firstLine="0"/>
              <w:jc w:val="left"/>
            </w:pPr>
            <w:r>
              <w:t xml:space="preserve">Neinštitucionalizované </w:t>
            </w:r>
          </w:p>
          <w:p w:rsidR="00071B02" w:rsidRDefault="008F460B">
            <w:pPr>
              <w:spacing w:after="0" w:line="259" w:lineRule="auto"/>
              <w:ind w:left="2" w:firstLine="0"/>
              <w:jc w:val="left"/>
            </w:pPr>
            <w:r>
              <w:t xml:space="preserve">Nevedie k úplnej kvalifikácii v súlade s NKR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61" w:firstLine="0"/>
            </w:pPr>
            <w:r>
              <w:t xml:space="preserve">Učenie sa pri čítaní knihy, novín, hre, sledovaní TV a pod. </w:t>
            </w:r>
          </w:p>
        </w:tc>
      </w:tr>
    </w:tbl>
    <w:p w:rsidR="00071B02" w:rsidRDefault="008F460B">
      <w:pPr>
        <w:spacing w:after="170" w:line="268" w:lineRule="auto"/>
        <w:ind w:left="-5"/>
      </w:pPr>
      <w:r>
        <w:rPr>
          <w:i/>
        </w:rPr>
        <w:t xml:space="preserve">Pozn.: NKR = Národný kvalifikačný rámec </w:t>
      </w:r>
    </w:p>
    <w:p w:rsidR="00071B02" w:rsidRDefault="008F460B">
      <w:pPr>
        <w:spacing w:after="44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071B02" w:rsidRDefault="008F460B">
      <w:pPr>
        <w:spacing w:after="205"/>
        <w:ind w:right="194"/>
      </w:pPr>
      <w:r>
        <w:t>Slovensko v roku 2017 dosahovalo 3,4%-nú mieru účasti dospelých na celoživotnom vzdelávaní. Priemer EÚ bol takmer 11 % a cieľ Európa 2020 15%. Údaje z</w:t>
      </w:r>
      <w:r>
        <w:t>o zisťovaní o vzdelávaní dospelých (Adult Education Survey) naznačujú, že na Slovensku je pomerne veľká časť ďalšieho vzdelávania zabezpečovaná priamo učením sa na pracovnom mieste (onthe-job learning) oproti iným štruktúrovaným formám vzdelávania (seminár</w:t>
      </w:r>
      <w:r>
        <w:t xml:space="preserve">e, prednášky, skolenia a pod.). S uvedeným mechanizmom súvisí aj nízka inkluzívnosť systému ďalšieho vzdelávania na Slovensku, keďže zamestnaní majú vyššiu šancu účasti než nezamestnaní a osoby mimo trhu práce. </w:t>
      </w:r>
    </w:p>
    <w:p w:rsidR="00071B02" w:rsidRDefault="008F460B">
      <w:pPr>
        <w:spacing w:after="168"/>
      </w:pPr>
      <w:r>
        <w:lastRenderedPageBreak/>
        <w:t xml:space="preserve">NPRVV je preto zameraný na podporu štruktúrovaných foriem ďalšieho vzdelávania a rozvoj systému uznávania a overovania kvalifikácií. </w:t>
      </w:r>
    </w:p>
    <w:p w:rsidR="00071B02" w:rsidRDefault="008F460B">
      <w:pPr>
        <w:pStyle w:val="Nadpis3"/>
        <w:spacing w:after="167"/>
        <w:ind w:left="-5"/>
      </w:pPr>
      <w:bookmarkStart w:id="24" w:name="_Toc89342"/>
      <w:r>
        <w:t xml:space="preserve">3.3.3. Priority Agendy 2030 </w:t>
      </w:r>
      <w:bookmarkEnd w:id="24"/>
    </w:p>
    <w:p w:rsidR="00071B02" w:rsidRDefault="008F460B">
      <w:pPr>
        <w:spacing w:after="91"/>
        <w:ind w:right="199"/>
      </w:pPr>
      <w:r>
        <w:t>Strategické ciele ako aj prierezové priority NPRVV sú v súlade s Národnými prioritami impleme</w:t>
      </w:r>
      <w:r>
        <w:t xml:space="preserve">ntácie Agendy 2030 v oblasti vzdelávania. Korešpondenciu medzi oboma stratégiami znázorňuje Tabuľka 3.4.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071B02" w:rsidRDefault="00071B02">
      <w:pPr>
        <w:sectPr w:rsidR="00071B02"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footerReference w:type="first" r:id="rId134"/>
          <w:pgSz w:w="11906" w:h="16838"/>
          <w:pgMar w:top="1421" w:right="1220" w:bottom="1421" w:left="1416" w:header="708" w:footer="712" w:gutter="0"/>
          <w:cols w:space="708"/>
        </w:sectPr>
      </w:pPr>
    </w:p>
    <w:p w:rsidR="00071B02" w:rsidRDefault="008F460B">
      <w:pPr>
        <w:spacing w:after="129" w:line="267" w:lineRule="auto"/>
        <w:ind w:left="-5"/>
      </w:pPr>
      <w:r>
        <w:rPr>
          <w:b/>
        </w:rPr>
        <w:lastRenderedPageBreak/>
        <w:t>Tabuľka 3.4 Korešpondencia medz</w:t>
      </w:r>
      <w:r>
        <w:rPr>
          <w:b/>
        </w:rPr>
        <w:t xml:space="preserve">i cieľmi NPRVV a Agendy 2030 </w:t>
      </w:r>
    </w:p>
    <w:p w:rsidR="00071B02" w:rsidRDefault="008F460B">
      <w:pPr>
        <w:spacing w:after="317" w:line="259" w:lineRule="auto"/>
        <w:ind w:left="0" w:firstLine="0"/>
        <w:jc w:val="left"/>
      </w:pPr>
      <w:r>
        <w:rPr>
          <w:b/>
        </w:rPr>
        <w:t xml:space="preserve"> </w:t>
      </w:r>
    </w:p>
    <w:p w:rsidR="00071B02" w:rsidRDefault="008F460B">
      <w:pPr>
        <w:tabs>
          <w:tab w:val="center" w:pos="8509"/>
          <w:tab w:val="center" w:pos="11410"/>
        </w:tabs>
        <w:spacing w:after="18" w:line="267" w:lineRule="auto"/>
        <w:ind w:left="-15" w:firstLine="0"/>
        <w:jc w:val="left"/>
      </w:pPr>
      <w:r>
        <w:rPr>
          <w:b/>
        </w:rPr>
        <w:t xml:space="preserve">Národné priority implementácie Agendy 2030 </w:t>
      </w:r>
      <w:r>
        <w:rPr>
          <w:b/>
        </w:rPr>
        <w:tab/>
        <w:t xml:space="preserve">Strategický </w:t>
      </w:r>
      <w:r>
        <w:rPr>
          <w:b/>
        </w:rPr>
        <w:tab/>
        <w:t xml:space="preserve">cieľ Prierezová priorita NPRVV </w:t>
      </w:r>
    </w:p>
    <w:p w:rsidR="00071B02" w:rsidRDefault="008F460B">
      <w:pPr>
        <w:spacing w:after="302" w:line="265" w:lineRule="auto"/>
        <w:ind w:left="2692"/>
        <w:jc w:val="center"/>
      </w:pPr>
      <w:r>
        <w:rPr>
          <w:b/>
        </w:rPr>
        <w:t xml:space="preserve">NPRVV </w:t>
      </w:r>
    </w:p>
    <w:p w:rsidR="00071B02" w:rsidRDefault="008F460B">
      <w:pPr>
        <w:ind w:right="2833"/>
      </w:pPr>
      <w:r>
        <w:t xml:space="preserve">Zvýšenie kvality vzdelávania a posilnenie spoločenského statusu učiteľa v Zvýšenie kvality  </w:t>
      </w:r>
      <w:r>
        <w:t xml:space="preserve">kontexte medzinárodného porovnania, globálnych megatrendov a uplatňovania výchovy a </w:t>
      </w:r>
    </w:p>
    <w:p w:rsidR="00071B02" w:rsidRDefault="008F460B">
      <w:pPr>
        <w:tabs>
          <w:tab w:val="center" w:pos="8496"/>
        </w:tabs>
        <w:spacing w:after="226"/>
        <w:ind w:left="0" w:firstLine="0"/>
        <w:jc w:val="left"/>
      </w:pPr>
      <w:r>
        <w:t xml:space="preserve">princípov znalostnej spoločnosti. </w:t>
      </w:r>
      <w:r>
        <w:tab/>
        <w:t xml:space="preserve">vzdelávania </w:t>
      </w:r>
    </w:p>
    <w:p w:rsidR="00071B02" w:rsidRDefault="008F460B">
      <w:pPr>
        <w:spacing w:after="213"/>
      </w:pPr>
      <w:r>
        <w:t>Posilnenie princípov inkluzívnosti vo vzdelávacom systéme a zabezpečenie Zvýšenie dostupnosti Integrácia a inklúzia rovných</w:t>
      </w:r>
      <w:r>
        <w:t xml:space="preserve"> príležitostí pre všetkých žiakov/študentov, bez ohľadu na ich sociálne kvalitnej výchovy a marginalizovaných rómskych komunít pozadie, zdravotný stav alebo národnostnú/etnickú príslušnosť, s dôrazom na vzdelávania a študentov zo sociálne zvyšovanie prílež</w:t>
      </w:r>
      <w:r>
        <w:t xml:space="preserve">itostí pre uplatňovanie pozitívnej sociálnej mobility. znevýhodneného prostredia </w:t>
      </w:r>
    </w:p>
    <w:p w:rsidR="00071B02" w:rsidRDefault="008F460B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-71627</wp:posOffset>
                </wp:positionH>
                <wp:positionV relativeFrom="paragraph">
                  <wp:posOffset>-2406265</wp:posOffset>
                </wp:positionV>
                <wp:extent cx="9035543" cy="3742055"/>
                <wp:effectExtent l="0" t="0" r="0" b="0"/>
                <wp:wrapNone/>
                <wp:docPr id="83725" name="Group 83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5543" cy="3742055"/>
                          <a:chOff x="0" y="0"/>
                          <a:chExt cx="9035543" cy="3742055"/>
                        </a:xfrm>
                      </wpg:grpSpPr>
                      <wps:wsp>
                        <wps:cNvPr id="90489" name="Shape 9048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90" name="Shape 90490"/>
                        <wps:cNvSpPr/>
                        <wps:spPr>
                          <a:xfrm>
                            <a:off x="6096" y="0"/>
                            <a:ext cx="50252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 h="9144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  <a:lnTo>
                                  <a:pt x="50252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91" name="Shape 90491"/>
                        <wps:cNvSpPr/>
                        <wps:spPr>
                          <a:xfrm>
                            <a:off x="503135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92" name="Shape 90492"/>
                        <wps:cNvSpPr/>
                        <wps:spPr>
                          <a:xfrm>
                            <a:off x="5037455" y="0"/>
                            <a:ext cx="14922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0" h="9144">
                                <a:moveTo>
                                  <a:pt x="0" y="0"/>
                                </a:moveTo>
                                <a:lnTo>
                                  <a:pt x="1492250" y="0"/>
                                </a:lnTo>
                                <a:lnTo>
                                  <a:pt x="14922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93" name="Shape 90493"/>
                        <wps:cNvSpPr/>
                        <wps:spPr>
                          <a:xfrm>
                            <a:off x="652970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94" name="Shape 90494"/>
                        <wps:cNvSpPr/>
                        <wps:spPr>
                          <a:xfrm>
                            <a:off x="6535801" y="0"/>
                            <a:ext cx="24935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518" h="9144">
                                <a:moveTo>
                                  <a:pt x="0" y="0"/>
                                </a:moveTo>
                                <a:lnTo>
                                  <a:pt x="2493518" y="0"/>
                                </a:lnTo>
                                <a:lnTo>
                                  <a:pt x="24935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95" name="Shape 90495"/>
                        <wps:cNvSpPr/>
                        <wps:spPr>
                          <a:xfrm>
                            <a:off x="902944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96" name="Shape 90496"/>
                        <wps:cNvSpPr/>
                        <wps:spPr>
                          <a:xfrm>
                            <a:off x="0" y="6096"/>
                            <a:ext cx="9144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6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6260"/>
                                </a:lnTo>
                                <a:lnTo>
                                  <a:pt x="0" y="556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97" name="Shape 90497"/>
                        <wps:cNvSpPr/>
                        <wps:spPr>
                          <a:xfrm>
                            <a:off x="5031359" y="6096"/>
                            <a:ext cx="9144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6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6260"/>
                                </a:lnTo>
                                <a:lnTo>
                                  <a:pt x="0" y="556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98" name="Shape 90498"/>
                        <wps:cNvSpPr/>
                        <wps:spPr>
                          <a:xfrm>
                            <a:off x="6529706" y="6096"/>
                            <a:ext cx="9144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6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6260"/>
                                </a:lnTo>
                                <a:lnTo>
                                  <a:pt x="0" y="556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99" name="Shape 90499"/>
                        <wps:cNvSpPr/>
                        <wps:spPr>
                          <a:xfrm>
                            <a:off x="9029446" y="6096"/>
                            <a:ext cx="9144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6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6260"/>
                                </a:lnTo>
                                <a:lnTo>
                                  <a:pt x="0" y="556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00" name="Shape 90500"/>
                        <wps:cNvSpPr/>
                        <wps:spPr>
                          <a:xfrm>
                            <a:off x="0" y="5623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01" name="Shape 90501"/>
                        <wps:cNvSpPr/>
                        <wps:spPr>
                          <a:xfrm>
                            <a:off x="6096" y="562356"/>
                            <a:ext cx="50252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 h="9144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  <a:lnTo>
                                  <a:pt x="50252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02" name="Shape 90502"/>
                        <wps:cNvSpPr/>
                        <wps:spPr>
                          <a:xfrm>
                            <a:off x="5031359" y="5623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03" name="Shape 90503"/>
                        <wps:cNvSpPr/>
                        <wps:spPr>
                          <a:xfrm>
                            <a:off x="5037455" y="562356"/>
                            <a:ext cx="14922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0" h="9144">
                                <a:moveTo>
                                  <a:pt x="0" y="0"/>
                                </a:moveTo>
                                <a:lnTo>
                                  <a:pt x="1492250" y="0"/>
                                </a:lnTo>
                                <a:lnTo>
                                  <a:pt x="14922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04" name="Shape 90504"/>
                        <wps:cNvSpPr/>
                        <wps:spPr>
                          <a:xfrm>
                            <a:off x="6529706" y="5623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05" name="Shape 90505"/>
                        <wps:cNvSpPr/>
                        <wps:spPr>
                          <a:xfrm>
                            <a:off x="6535801" y="562356"/>
                            <a:ext cx="24935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518" h="9144">
                                <a:moveTo>
                                  <a:pt x="0" y="0"/>
                                </a:moveTo>
                                <a:lnTo>
                                  <a:pt x="2493518" y="0"/>
                                </a:lnTo>
                                <a:lnTo>
                                  <a:pt x="24935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06" name="Shape 90506"/>
                        <wps:cNvSpPr/>
                        <wps:spPr>
                          <a:xfrm>
                            <a:off x="9029446" y="5623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07" name="Shape 90507"/>
                        <wps:cNvSpPr/>
                        <wps:spPr>
                          <a:xfrm>
                            <a:off x="0" y="568529"/>
                            <a:ext cx="9144" cy="75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577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57733"/>
                                </a:lnTo>
                                <a:lnTo>
                                  <a:pt x="0" y="75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08" name="Shape 90508"/>
                        <wps:cNvSpPr/>
                        <wps:spPr>
                          <a:xfrm>
                            <a:off x="5031359" y="568529"/>
                            <a:ext cx="9144" cy="75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577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57733"/>
                                </a:lnTo>
                                <a:lnTo>
                                  <a:pt x="0" y="75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09" name="Shape 90509"/>
                        <wps:cNvSpPr/>
                        <wps:spPr>
                          <a:xfrm>
                            <a:off x="6529706" y="568529"/>
                            <a:ext cx="9144" cy="75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577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57733"/>
                                </a:lnTo>
                                <a:lnTo>
                                  <a:pt x="0" y="75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10" name="Shape 90510"/>
                        <wps:cNvSpPr/>
                        <wps:spPr>
                          <a:xfrm>
                            <a:off x="9029446" y="568529"/>
                            <a:ext cx="9144" cy="75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577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57733"/>
                                </a:lnTo>
                                <a:lnTo>
                                  <a:pt x="0" y="75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11" name="Shape 90511"/>
                        <wps:cNvSpPr/>
                        <wps:spPr>
                          <a:xfrm>
                            <a:off x="0" y="1326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12" name="Shape 90512"/>
                        <wps:cNvSpPr/>
                        <wps:spPr>
                          <a:xfrm>
                            <a:off x="6096" y="1326261"/>
                            <a:ext cx="50252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 h="9144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  <a:lnTo>
                                  <a:pt x="50252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13" name="Shape 90513"/>
                        <wps:cNvSpPr/>
                        <wps:spPr>
                          <a:xfrm>
                            <a:off x="5031359" y="1326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14" name="Shape 90514"/>
                        <wps:cNvSpPr/>
                        <wps:spPr>
                          <a:xfrm>
                            <a:off x="5037455" y="1326261"/>
                            <a:ext cx="14922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0" h="9144">
                                <a:moveTo>
                                  <a:pt x="0" y="0"/>
                                </a:moveTo>
                                <a:lnTo>
                                  <a:pt x="1492250" y="0"/>
                                </a:lnTo>
                                <a:lnTo>
                                  <a:pt x="14922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15" name="Shape 90515"/>
                        <wps:cNvSpPr/>
                        <wps:spPr>
                          <a:xfrm>
                            <a:off x="6529706" y="1326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16" name="Shape 90516"/>
                        <wps:cNvSpPr/>
                        <wps:spPr>
                          <a:xfrm>
                            <a:off x="6535801" y="1326261"/>
                            <a:ext cx="24935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518" h="9144">
                                <a:moveTo>
                                  <a:pt x="0" y="0"/>
                                </a:moveTo>
                                <a:lnTo>
                                  <a:pt x="2493518" y="0"/>
                                </a:lnTo>
                                <a:lnTo>
                                  <a:pt x="24935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17" name="Shape 90517"/>
                        <wps:cNvSpPr/>
                        <wps:spPr>
                          <a:xfrm>
                            <a:off x="9029446" y="1326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18" name="Shape 90518"/>
                        <wps:cNvSpPr/>
                        <wps:spPr>
                          <a:xfrm>
                            <a:off x="0" y="1332357"/>
                            <a:ext cx="9144" cy="95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85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8596"/>
                                </a:lnTo>
                                <a:lnTo>
                                  <a:pt x="0" y="958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19" name="Shape 90519"/>
                        <wps:cNvSpPr/>
                        <wps:spPr>
                          <a:xfrm>
                            <a:off x="5031359" y="1332357"/>
                            <a:ext cx="9144" cy="95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85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8596"/>
                                </a:lnTo>
                                <a:lnTo>
                                  <a:pt x="0" y="958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20" name="Shape 90520"/>
                        <wps:cNvSpPr/>
                        <wps:spPr>
                          <a:xfrm>
                            <a:off x="6529706" y="1332357"/>
                            <a:ext cx="9144" cy="95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85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8596"/>
                                </a:lnTo>
                                <a:lnTo>
                                  <a:pt x="0" y="958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21" name="Shape 90521"/>
                        <wps:cNvSpPr/>
                        <wps:spPr>
                          <a:xfrm>
                            <a:off x="9029446" y="1332357"/>
                            <a:ext cx="9144" cy="95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85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8596"/>
                                </a:lnTo>
                                <a:lnTo>
                                  <a:pt x="0" y="958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22" name="Shape 90522"/>
                        <wps:cNvSpPr/>
                        <wps:spPr>
                          <a:xfrm>
                            <a:off x="0" y="22909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23" name="Shape 90523"/>
                        <wps:cNvSpPr/>
                        <wps:spPr>
                          <a:xfrm>
                            <a:off x="6096" y="2290953"/>
                            <a:ext cx="50252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 h="9144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  <a:lnTo>
                                  <a:pt x="50252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24" name="Shape 90524"/>
                        <wps:cNvSpPr/>
                        <wps:spPr>
                          <a:xfrm>
                            <a:off x="5031359" y="22909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25" name="Shape 90525"/>
                        <wps:cNvSpPr/>
                        <wps:spPr>
                          <a:xfrm>
                            <a:off x="5037455" y="2290953"/>
                            <a:ext cx="14922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0" h="9144">
                                <a:moveTo>
                                  <a:pt x="0" y="0"/>
                                </a:moveTo>
                                <a:lnTo>
                                  <a:pt x="1492250" y="0"/>
                                </a:lnTo>
                                <a:lnTo>
                                  <a:pt x="14922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26" name="Shape 90526"/>
                        <wps:cNvSpPr/>
                        <wps:spPr>
                          <a:xfrm>
                            <a:off x="6529706" y="22909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27" name="Shape 90527"/>
                        <wps:cNvSpPr/>
                        <wps:spPr>
                          <a:xfrm>
                            <a:off x="6535801" y="2290953"/>
                            <a:ext cx="24935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518" h="9144">
                                <a:moveTo>
                                  <a:pt x="0" y="0"/>
                                </a:moveTo>
                                <a:lnTo>
                                  <a:pt x="2493518" y="0"/>
                                </a:lnTo>
                                <a:lnTo>
                                  <a:pt x="24935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28" name="Shape 90528"/>
                        <wps:cNvSpPr/>
                        <wps:spPr>
                          <a:xfrm>
                            <a:off x="9029446" y="22909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29" name="Shape 90529"/>
                        <wps:cNvSpPr/>
                        <wps:spPr>
                          <a:xfrm>
                            <a:off x="0" y="2296998"/>
                            <a:ext cx="9144" cy="123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62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6269"/>
                                </a:lnTo>
                                <a:lnTo>
                                  <a:pt x="0" y="1236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30" name="Shape 90530"/>
                        <wps:cNvSpPr/>
                        <wps:spPr>
                          <a:xfrm>
                            <a:off x="0" y="35332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31" name="Shape 90531"/>
                        <wps:cNvSpPr/>
                        <wps:spPr>
                          <a:xfrm>
                            <a:off x="6096" y="3533267"/>
                            <a:ext cx="50252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263" h="9144">
                                <a:moveTo>
                                  <a:pt x="0" y="0"/>
                                </a:moveTo>
                                <a:lnTo>
                                  <a:pt x="5025263" y="0"/>
                                </a:lnTo>
                                <a:lnTo>
                                  <a:pt x="50252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32" name="Shape 90532"/>
                        <wps:cNvSpPr/>
                        <wps:spPr>
                          <a:xfrm>
                            <a:off x="5031359" y="2296998"/>
                            <a:ext cx="9144" cy="123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62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6269"/>
                                </a:lnTo>
                                <a:lnTo>
                                  <a:pt x="0" y="1236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33" name="Shape 90533"/>
                        <wps:cNvSpPr/>
                        <wps:spPr>
                          <a:xfrm>
                            <a:off x="5031359" y="35332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34" name="Shape 90534"/>
                        <wps:cNvSpPr/>
                        <wps:spPr>
                          <a:xfrm>
                            <a:off x="5037455" y="3533267"/>
                            <a:ext cx="14922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0" h="9144">
                                <a:moveTo>
                                  <a:pt x="0" y="0"/>
                                </a:moveTo>
                                <a:lnTo>
                                  <a:pt x="1492250" y="0"/>
                                </a:lnTo>
                                <a:lnTo>
                                  <a:pt x="14922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35" name="Shape 90535"/>
                        <wps:cNvSpPr/>
                        <wps:spPr>
                          <a:xfrm>
                            <a:off x="6529706" y="2296998"/>
                            <a:ext cx="9144" cy="123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62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6269"/>
                                </a:lnTo>
                                <a:lnTo>
                                  <a:pt x="0" y="1236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36" name="Shape 90536"/>
                        <wps:cNvSpPr/>
                        <wps:spPr>
                          <a:xfrm>
                            <a:off x="6529706" y="35332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37" name="Shape 90537"/>
                        <wps:cNvSpPr/>
                        <wps:spPr>
                          <a:xfrm>
                            <a:off x="6535801" y="3533267"/>
                            <a:ext cx="24935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518" h="9144">
                                <a:moveTo>
                                  <a:pt x="0" y="0"/>
                                </a:moveTo>
                                <a:lnTo>
                                  <a:pt x="2493518" y="0"/>
                                </a:lnTo>
                                <a:lnTo>
                                  <a:pt x="24935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38" name="Shape 90538"/>
                        <wps:cNvSpPr/>
                        <wps:spPr>
                          <a:xfrm>
                            <a:off x="9029446" y="2296998"/>
                            <a:ext cx="9144" cy="123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62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6269"/>
                                </a:lnTo>
                                <a:lnTo>
                                  <a:pt x="0" y="1236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39" name="Shape 90539"/>
                        <wps:cNvSpPr/>
                        <wps:spPr>
                          <a:xfrm>
                            <a:off x="9029446" y="35332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40" name="Shape 90540"/>
                        <wps:cNvSpPr/>
                        <wps:spPr>
                          <a:xfrm>
                            <a:off x="53340" y="3539363"/>
                            <a:ext cx="892886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862" h="202692">
                                <a:moveTo>
                                  <a:pt x="0" y="0"/>
                                </a:moveTo>
                                <a:lnTo>
                                  <a:pt x="8928862" y="0"/>
                                </a:lnTo>
                                <a:lnTo>
                                  <a:pt x="8928862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3725" style="width:711.46pt;height:294.65pt;position:absolute;z-index:-2147483550;mso-position-horizontal-relative:text;mso-position-horizontal:absolute;margin-left:-5.64pt;mso-position-vertical-relative:text;margin-top:-189.47pt;" coordsize="90355,37420">
                <v:shape id="Shape 90541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42" style="position:absolute;width:50252;height:91;left:60;top:0;" coordsize="5025263,9144" path="m0,0l5025263,0l5025263,9144l0,9144l0,0">
                  <v:stroke weight="0pt" endcap="flat" joinstyle="miter" miterlimit="10" on="false" color="#000000" opacity="0"/>
                  <v:fill on="true" color="#000000"/>
                </v:shape>
                <v:shape id="Shape 90543" style="position:absolute;width:91;height:91;left:50313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44" style="position:absolute;width:14922;height:91;left:50374;top:0;" coordsize="1492250,9144" path="m0,0l1492250,0l1492250,9144l0,9144l0,0">
                  <v:stroke weight="0pt" endcap="flat" joinstyle="miter" miterlimit="10" on="false" color="#000000" opacity="0"/>
                  <v:fill on="true" color="#000000"/>
                </v:shape>
                <v:shape id="Shape 90545" style="position:absolute;width:91;height:91;left:6529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46" style="position:absolute;width:24935;height:91;left:65358;top:0;" coordsize="2493518,9144" path="m0,0l2493518,0l2493518,9144l0,9144l0,0">
                  <v:stroke weight="0pt" endcap="flat" joinstyle="miter" miterlimit="10" on="false" color="#000000" opacity="0"/>
                  <v:fill on="true" color="#000000"/>
                </v:shape>
                <v:shape id="Shape 90547" style="position:absolute;width:91;height:91;left:90294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48" style="position:absolute;width:91;height:5562;left:0;top:60;" coordsize="9144,556260" path="m0,0l9144,0l9144,556260l0,556260l0,0">
                  <v:stroke weight="0pt" endcap="flat" joinstyle="miter" miterlimit="10" on="false" color="#000000" opacity="0"/>
                  <v:fill on="true" color="#000000"/>
                </v:shape>
                <v:shape id="Shape 90549" style="position:absolute;width:91;height:5562;left:50313;top:60;" coordsize="9144,556260" path="m0,0l9144,0l9144,556260l0,556260l0,0">
                  <v:stroke weight="0pt" endcap="flat" joinstyle="miter" miterlimit="10" on="false" color="#000000" opacity="0"/>
                  <v:fill on="true" color="#000000"/>
                </v:shape>
                <v:shape id="Shape 90550" style="position:absolute;width:91;height:5562;left:65297;top:60;" coordsize="9144,556260" path="m0,0l9144,0l9144,556260l0,556260l0,0">
                  <v:stroke weight="0pt" endcap="flat" joinstyle="miter" miterlimit="10" on="false" color="#000000" opacity="0"/>
                  <v:fill on="true" color="#000000"/>
                </v:shape>
                <v:shape id="Shape 90551" style="position:absolute;width:91;height:5562;left:90294;top:60;" coordsize="9144,556260" path="m0,0l9144,0l9144,556260l0,556260l0,0">
                  <v:stroke weight="0pt" endcap="flat" joinstyle="miter" miterlimit="10" on="false" color="#000000" opacity="0"/>
                  <v:fill on="true" color="#000000"/>
                </v:shape>
                <v:shape id="Shape 90552" style="position:absolute;width:91;height:91;left:0;top:562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53" style="position:absolute;width:50252;height:91;left:60;top:5623;" coordsize="5025263,9144" path="m0,0l5025263,0l5025263,9144l0,9144l0,0">
                  <v:stroke weight="0pt" endcap="flat" joinstyle="miter" miterlimit="10" on="false" color="#000000" opacity="0"/>
                  <v:fill on="true" color="#000000"/>
                </v:shape>
                <v:shape id="Shape 90554" style="position:absolute;width:91;height:91;left:50313;top:562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55" style="position:absolute;width:14922;height:91;left:50374;top:5623;" coordsize="1492250,9144" path="m0,0l1492250,0l1492250,9144l0,9144l0,0">
                  <v:stroke weight="0pt" endcap="flat" joinstyle="miter" miterlimit="10" on="false" color="#000000" opacity="0"/>
                  <v:fill on="true" color="#000000"/>
                </v:shape>
                <v:shape id="Shape 90556" style="position:absolute;width:91;height:91;left:65297;top:562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57" style="position:absolute;width:24935;height:91;left:65358;top:5623;" coordsize="2493518,9144" path="m0,0l2493518,0l2493518,9144l0,9144l0,0">
                  <v:stroke weight="0pt" endcap="flat" joinstyle="miter" miterlimit="10" on="false" color="#000000" opacity="0"/>
                  <v:fill on="true" color="#000000"/>
                </v:shape>
                <v:shape id="Shape 90558" style="position:absolute;width:91;height:91;left:90294;top:562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59" style="position:absolute;width:91;height:7577;left:0;top:5685;" coordsize="9144,757733" path="m0,0l9144,0l9144,757733l0,757733l0,0">
                  <v:stroke weight="0pt" endcap="flat" joinstyle="miter" miterlimit="10" on="false" color="#000000" opacity="0"/>
                  <v:fill on="true" color="#000000"/>
                </v:shape>
                <v:shape id="Shape 90560" style="position:absolute;width:91;height:7577;left:50313;top:5685;" coordsize="9144,757733" path="m0,0l9144,0l9144,757733l0,757733l0,0">
                  <v:stroke weight="0pt" endcap="flat" joinstyle="miter" miterlimit="10" on="false" color="#000000" opacity="0"/>
                  <v:fill on="true" color="#000000"/>
                </v:shape>
                <v:shape id="Shape 90561" style="position:absolute;width:91;height:7577;left:65297;top:5685;" coordsize="9144,757733" path="m0,0l9144,0l9144,757733l0,757733l0,0">
                  <v:stroke weight="0pt" endcap="flat" joinstyle="miter" miterlimit="10" on="false" color="#000000" opacity="0"/>
                  <v:fill on="true" color="#000000"/>
                </v:shape>
                <v:shape id="Shape 90562" style="position:absolute;width:91;height:7577;left:90294;top:5685;" coordsize="9144,757733" path="m0,0l9144,0l9144,757733l0,757733l0,0">
                  <v:stroke weight="0pt" endcap="flat" joinstyle="miter" miterlimit="10" on="false" color="#000000" opacity="0"/>
                  <v:fill on="true" color="#000000"/>
                </v:shape>
                <v:shape id="Shape 90563" style="position:absolute;width:91;height:91;left:0;top:1326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64" style="position:absolute;width:50252;height:91;left:60;top:13262;" coordsize="5025263,9144" path="m0,0l5025263,0l5025263,9144l0,9144l0,0">
                  <v:stroke weight="0pt" endcap="flat" joinstyle="miter" miterlimit="10" on="false" color="#000000" opacity="0"/>
                  <v:fill on="true" color="#000000"/>
                </v:shape>
                <v:shape id="Shape 90565" style="position:absolute;width:91;height:91;left:50313;top:1326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66" style="position:absolute;width:14922;height:91;left:50374;top:13262;" coordsize="1492250,9144" path="m0,0l1492250,0l1492250,9144l0,9144l0,0">
                  <v:stroke weight="0pt" endcap="flat" joinstyle="miter" miterlimit="10" on="false" color="#000000" opacity="0"/>
                  <v:fill on="true" color="#000000"/>
                </v:shape>
                <v:shape id="Shape 90567" style="position:absolute;width:91;height:91;left:65297;top:1326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68" style="position:absolute;width:24935;height:91;left:65358;top:13262;" coordsize="2493518,9144" path="m0,0l2493518,0l2493518,9144l0,9144l0,0">
                  <v:stroke weight="0pt" endcap="flat" joinstyle="miter" miterlimit="10" on="false" color="#000000" opacity="0"/>
                  <v:fill on="true" color="#000000"/>
                </v:shape>
                <v:shape id="Shape 90569" style="position:absolute;width:91;height:91;left:90294;top:1326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70" style="position:absolute;width:91;height:9585;left:0;top:13323;" coordsize="9144,958596" path="m0,0l9144,0l9144,958596l0,958596l0,0">
                  <v:stroke weight="0pt" endcap="flat" joinstyle="miter" miterlimit="10" on="false" color="#000000" opacity="0"/>
                  <v:fill on="true" color="#000000"/>
                </v:shape>
                <v:shape id="Shape 90571" style="position:absolute;width:91;height:9585;left:50313;top:13323;" coordsize="9144,958596" path="m0,0l9144,0l9144,958596l0,958596l0,0">
                  <v:stroke weight="0pt" endcap="flat" joinstyle="miter" miterlimit="10" on="false" color="#000000" opacity="0"/>
                  <v:fill on="true" color="#000000"/>
                </v:shape>
                <v:shape id="Shape 90572" style="position:absolute;width:91;height:9585;left:65297;top:13323;" coordsize="9144,958596" path="m0,0l9144,0l9144,958596l0,958596l0,0">
                  <v:stroke weight="0pt" endcap="flat" joinstyle="miter" miterlimit="10" on="false" color="#000000" opacity="0"/>
                  <v:fill on="true" color="#000000"/>
                </v:shape>
                <v:shape id="Shape 90573" style="position:absolute;width:91;height:9585;left:90294;top:13323;" coordsize="9144,958596" path="m0,0l9144,0l9144,958596l0,958596l0,0">
                  <v:stroke weight="0pt" endcap="flat" joinstyle="miter" miterlimit="10" on="false" color="#000000" opacity="0"/>
                  <v:fill on="true" color="#000000"/>
                </v:shape>
                <v:shape id="Shape 90574" style="position:absolute;width:91;height:91;left:0;top:2290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75" style="position:absolute;width:50252;height:91;left:60;top:22909;" coordsize="5025263,9144" path="m0,0l5025263,0l5025263,9144l0,9144l0,0">
                  <v:stroke weight="0pt" endcap="flat" joinstyle="miter" miterlimit="10" on="false" color="#000000" opacity="0"/>
                  <v:fill on="true" color="#000000"/>
                </v:shape>
                <v:shape id="Shape 90576" style="position:absolute;width:91;height:91;left:50313;top:2290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77" style="position:absolute;width:14922;height:91;left:50374;top:22909;" coordsize="1492250,9144" path="m0,0l1492250,0l1492250,9144l0,9144l0,0">
                  <v:stroke weight="0pt" endcap="flat" joinstyle="miter" miterlimit="10" on="false" color="#000000" opacity="0"/>
                  <v:fill on="true" color="#000000"/>
                </v:shape>
                <v:shape id="Shape 90578" style="position:absolute;width:91;height:91;left:65297;top:2290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79" style="position:absolute;width:24935;height:91;left:65358;top:22909;" coordsize="2493518,9144" path="m0,0l2493518,0l2493518,9144l0,9144l0,0">
                  <v:stroke weight="0pt" endcap="flat" joinstyle="miter" miterlimit="10" on="false" color="#000000" opacity="0"/>
                  <v:fill on="true" color="#000000"/>
                </v:shape>
                <v:shape id="Shape 90580" style="position:absolute;width:91;height:91;left:90294;top:2290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81" style="position:absolute;width:91;height:12362;left:0;top:22969;" coordsize="9144,1236269" path="m0,0l9144,0l9144,1236269l0,1236269l0,0">
                  <v:stroke weight="0pt" endcap="flat" joinstyle="miter" miterlimit="10" on="false" color="#000000" opacity="0"/>
                  <v:fill on="true" color="#000000"/>
                </v:shape>
                <v:shape id="Shape 90582" style="position:absolute;width:91;height:91;left:0;top:353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83" style="position:absolute;width:50252;height:91;left:60;top:35332;" coordsize="5025263,9144" path="m0,0l5025263,0l5025263,9144l0,9144l0,0">
                  <v:stroke weight="0pt" endcap="flat" joinstyle="miter" miterlimit="10" on="false" color="#000000" opacity="0"/>
                  <v:fill on="true" color="#000000"/>
                </v:shape>
                <v:shape id="Shape 90584" style="position:absolute;width:91;height:12362;left:50313;top:22969;" coordsize="9144,1236269" path="m0,0l9144,0l9144,1236269l0,1236269l0,0">
                  <v:stroke weight="0pt" endcap="flat" joinstyle="miter" miterlimit="10" on="false" color="#000000" opacity="0"/>
                  <v:fill on="true" color="#000000"/>
                </v:shape>
                <v:shape id="Shape 90585" style="position:absolute;width:91;height:91;left:50313;top:353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86" style="position:absolute;width:14922;height:91;left:50374;top:35332;" coordsize="1492250,9144" path="m0,0l1492250,0l1492250,9144l0,9144l0,0">
                  <v:stroke weight="0pt" endcap="flat" joinstyle="miter" miterlimit="10" on="false" color="#000000" opacity="0"/>
                  <v:fill on="true" color="#000000"/>
                </v:shape>
                <v:shape id="Shape 90587" style="position:absolute;width:91;height:12362;left:65297;top:22969;" coordsize="9144,1236269" path="m0,0l9144,0l9144,1236269l0,1236269l0,0">
                  <v:stroke weight="0pt" endcap="flat" joinstyle="miter" miterlimit="10" on="false" color="#000000" opacity="0"/>
                  <v:fill on="true" color="#000000"/>
                </v:shape>
                <v:shape id="Shape 90588" style="position:absolute;width:91;height:91;left:65297;top:353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89" style="position:absolute;width:24935;height:91;left:65358;top:35332;" coordsize="2493518,9144" path="m0,0l2493518,0l2493518,9144l0,9144l0,0">
                  <v:stroke weight="0pt" endcap="flat" joinstyle="miter" miterlimit="10" on="false" color="#000000" opacity="0"/>
                  <v:fill on="true" color="#000000"/>
                </v:shape>
                <v:shape id="Shape 90590" style="position:absolute;width:91;height:12362;left:90294;top:22969;" coordsize="9144,1236269" path="m0,0l9144,0l9144,1236269l0,1236269l0,0">
                  <v:stroke weight="0pt" endcap="flat" joinstyle="miter" miterlimit="10" on="false" color="#000000" opacity="0"/>
                  <v:fill on="true" color="#000000"/>
                </v:shape>
                <v:shape id="Shape 90591" style="position:absolute;width:91;height:91;left:90294;top:353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90592" style="position:absolute;width:89288;height:2026;left:533;top:35393;" coordsize="8928862,202692" path="m0,0l8928862,0l8928862,202692l0,202692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>Prekonanie štrukturálnych nerovností medzi ponukou pracovnej sily a dopytom Modernizácia Prepojenie systému výchovy a trhu práce, zvýšenie pripravenosti pracovnej sily na ak</w:t>
      </w:r>
      <w:r>
        <w:t xml:space="preserve">tuálne, ako aj budúce výchovy a vzdelávania s potrebami ekonomiky a potreby trhu práce a zabezpečenie dostatočných príležitostí pre celoživotné vzdelávania trhu práce vzdelávanie jednotlivca. </w:t>
      </w:r>
    </w:p>
    <w:p w:rsidR="00071B02" w:rsidRDefault="008F460B">
      <w:pPr>
        <w:tabs>
          <w:tab w:val="center" w:pos="10631"/>
          <w:tab w:val="center" w:pos="11823"/>
          <w:tab w:val="right" w:pos="14004"/>
        </w:tabs>
        <w:spacing w:after="68" w:line="259" w:lineRule="auto"/>
        <w:ind w:left="0" w:right="-1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Rozvoj </w:t>
      </w:r>
      <w:r>
        <w:tab/>
        <w:t xml:space="preserve">systému </w:t>
      </w:r>
      <w:r>
        <w:tab/>
        <w:t xml:space="preserve">neformálneho </w:t>
      </w:r>
    </w:p>
    <w:p w:rsidR="00071B02" w:rsidRDefault="008F460B">
      <w:pPr>
        <w:spacing w:after="102"/>
        <w:ind w:left="10293"/>
      </w:pPr>
      <w:r>
        <w:t xml:space="preserve">vzdelávania </w:t>
      </w:r>
    </w:p>
    <w:p w:rsidR="00071B02" w:rsidRDefault="008F460B">
      <w:pPr>
        <w:spacing w:after="2483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071B02" w:rsidRDefault="008F460B">
      <w:pPr>
        <w:spacing w:after="0" w:line="259" w:lineRule="auto"/>
        <w:ind w:right="-10"/>
        <w:jc w:val="right"/>
      </w:pPr>
      <w:r>
        <w:lastRenderedPageBreak/>
        <w:t xml:space="preserve">45 </w:t>
      </w:r>
    </w:p>
    <w:p w:rsidR="00071B02" w:rsidRDefault="008F460B">
      <w:pPr>
        <w:spacing w:after="0" w:line="259" w:lineRule="auto"/>
        <w:ind w:left="0" w:firstLine="0"/>
        <w:jc w:val="left"/>
      </w:pPr>
      <w:r>
        <w:t xml:space="preserve"> </w:t>
      </w:r>
    </w:p>
    <w:p w:rsidR="00071B02" w:rsidRDefault="00071B02">
      <w:pPr>
        <w:sectPr w:rsidR="00071B02"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6838" w:h="11906" w:orient="landscape"/>
          <w:pgMar w:top="1440" w:right="1416" w:bottom="1440" w:left="1418" w:header="708" w:footer="708" w:gutter="0"/>
          <w:cols w:space="708"/>
        </w:sectPr>
      </w:pPr>
    </w:p>
    <w:p w:rsidR="00071B02" w:rsidRDefault="008F460B">
      <w:pPr>
        <w:pStyle w:val="Nadpis1"/>
        <w:ind w:left="-5"/>
      </w:pPr>
      <w:bookmarkStart w:id="25" w:name="_Toc89343"/>
      <w:r>
        <w:lastRenderedPageBreak/>
        <w:t>4. Opis cieľov v jednotlivých strategických oblastiach</w:t>
      </w:r>
      <w:r>
        <w:rPr>
          <w:sz w:val="24"/>
        </w:rPr>
        <w:t xml:space="preserve">  </w:t>
      </w:r>
      <w:bookmarkEnd w:id="25"/>
    </w:p>
    <w:p w:rsidR="00071B02" w:rsidRDefault="008F460B">
      <w:pPr>
        <w:pStyle w:val="Nadpis2"/>
        <w:spacing w:after="112"/>
        <w:ind w:left="-5"/>
      </w:pPr>
      <w:bookmarkStart w:id="26" w:name="_Toc89344"/>
      <w:r>
        <w:t xml:space="preserve">4. 1. Názov a popis konkrétneho cieľa, dopady jeho naplnenia </w:t>
      </w:r>
      <w:bookmarkEnd w:id="26"/>
    </w:p>
    <w:p w:rsidR="00071B02" w:rsidRDefault="008F460B">
      <w:pPr>
        <w:spacing w:after="127"/>
      </w:pPr>
      <w:r>
        <w:t>Konkrétne ciele NPRVV sú premietnutím strategických cieľov na úrovne regionálneho a vysokého školstva. Konkrétne ciele s</w:t>
      </w:r>
      <w:r>
        <w:t xml:space="preserve">ú rozpracované do 106 komplexnejších opatrení, ktoré sa členia na ďalšie čiastkové opatrenia.  </w:t>
      </w:r>
    </w:p>
    <w:p w:rsidR="00071B02" w:rsidRDefault="008F460B">
      <w:pPr>
        <w:spacing w:after="137"/>
      </w:pPr>
      <w:r>
        <w:t xml:space="preserve">V súlade so štruktúrou a intervenčnou logikou NPRVV sú konkrétne ciele definované pre úrovne regionálneho školstva a vysokého školstva nasledovne: </w:t>
      </w:r>
    </w:p>
    <w:p w:rsidR="00071B02" w:rsidRDefault="008F460B">
      <w:pPr>
        <w:spacing w:after="182" w:line="259" w:lineRule="auto"/>
        <w:ind w:left="-5"/>
        <w:jc w:val="left"/>
      </w:pPr>
      <w:r>
        <w:rPr>
          <w:b/>
          <w:u w:val="single" w:color="000000"/>
        </w:rPr>
        <w:t>Konkrétne ci</w:t>
      </w:r>
      <w:r>
        <w:rPr>
          <w:b/>
          <w:u w:val="single" w:color="000000"/>
        </w:rPr>
        <w:t>ele pre regionálne školstvo:</w:t>
      </w:r>
      <w:r>
        <w:rPr>
          <w:b/>
        </w:rPr>
        <w:t xml:space="preserve"> </w:t>
      </w:r>
    </w:p>
    <w:p w:rsidR="00071B02" w:rsidRDefault="008F460B">
      <w:pPr>
        <w:numPr>
          <w:ilvl w:val="0"/>
          <w:numId w:val="11"/>
        </w:numPr>
        <w:ind w:hanging="360"/>
      </w:pPr>
      <w:r>
        <w:t xml:space="preserve">Dostatočne financované a efektívne fungujúce školstvo systémovo podporujúce kvalitu </w:t>
      </w:r>
    </w:p>
    <w:p w:rsidR="00071B02" w:rsidRDefault="008F460B">
      <w:pPr>
        <w:numPr>
          <w:ilvl w:val="0"/>
          <w:numId w:val="11"/>
        </w:numPr>
        <w:ind w:hanging="360"/>
      </w:pPr>
      <w:r>
        <w:t xml:space="preserve">Kvalitný, spoločensky rešpektovaný a primerane odmeňovaný učiteľ </w:t>
      </w:r>
    </w:p>
    <w:p w:rsidR="00071B02" w:rsidRDefault="008F460B">
      <w:pPr>
        <w:numPr>
          <w:ilvl w:val="0"/>
          <w:numId w:val="11"/>
        </w:numPr>
        <w:ind w:hanging="360"/>
      </w:pPr>
      <w:r>
        <w:t xml:space="preserve">Kvalitná výchova a vzdelávanie </w:t>
      </w:r>
    </w:p>
    <w:p w:rsidR="00071B02" w:rsidRDefault="008F460B">
      <w:pPr>
        <w:numPr>
          <w:ilvl w:val="0"/>
          <w:numId w:val="11"/>
        </w:numPr>
        <w:ind w:hanging="360"/>
      </w:pPr>
      <w:r>
        <w:t>Kvalitné odborné vzdelávanie a príprava rea</w:t>
      </w:r>
      <w:r>
        <w:t xml:space="preserve">gujúce na aktuálne a očakávané potreby praxe </w:t>
      </w:r>
    </w:p>
    <w:p w:rsidR="00071B02" w:rsidRDefault="008F460B">
      <w:pPr>
        <w:numPr>
          <w:ilvl w:val="0"/>
          <w:numId w:val="11"/>
        </w:numPr>
        <w:ind w:hanging="360"/>
      </w:pPr>
      <w:r>
        <w:t xml:space="preserve">Školstvo dostupné pre všetkých </w:t>
      </w:r>
    </w:p>
    <w:p w:rsidR="00071B02" w:rsidRDefault="008F460B">
      <w:pPr>
        <w:numPr>
          <w:ilvl w:val="0"/>
          <w:numId w:val="11"/>
        </w:numPr>
        <w:spacing w:after="145"/>
        <w:ind w:hanging="360"/>
      </w:pPr>
      <w:r>
        <w:t xml:space="preserve">Školstvo poskytujúce deťom a žiakom základ zdravého životného štýlu </w:t>
      </w:r>
    </w:p>
    <w:p w:rsidR="00071B02" w:rsidRDefault="008F460B">
      <w:pPr>
        <w:spacing w:after="182" w:line="259" w:lineRule="auto"/>
        <w:ind w:left="-5"/>
        <w:jc w:val="left"/>
      </w:pPr>
      <w:r>
        <w:rPr>
          <w:b/>
          <w:u w:val="single" w:color="000000"/>
        </w:rPr>
        <w:t>Konkrétne ciele pre vysoké školstvo:</w:t>
      </w:r>
      <w:r>
        <w:rPr>
          <w:b/>
        </w:rPr>
        <w:t xml:space="preserve"> </w:t>
      </w:r>
    </w:p>
    <w:p w:rsidR="00071B02" w:rsidRDefault="008F460B">
      <w:pPr>
        <w:numPr>
          <w:ilvl w:val="0"/>
          <w:numId w:val="12"/>
        </w:numPr>
        <w:ind w:hanging="360"/>
      </w:pPr>
      <w:r>
        <w:t xml:space="preserve">Dostatočne financované a efektívne fungujúce vysoké školstvo systémovo podporujúce kvalitu plnenia poslania vysokých škôl </w:t>
      </w:r>
    </w:p>
    <w:p w:rsidR="00071B02" w:rsidRDefault="008F460B">
      <w:pPr>
        <w:numPr>
          <w:ilvl w:val="0"/>
          <w:numId w:val="12"/>
        </w:numPr>
        <w:ind w:hanging="360"/>
      </w:pPr>
      <w:r>
        <w:t xml:space="preserve">Kvalitný, spoločensky rešpektovaný a primerane odmeňovaný vysokoškolský učiteľ a výskumný pracovník </w:t>
      </w:r>
    </w:p>
    <w:p w:rsidR="00071B02" w:rsidRDefault="008F460B">
      <w:pPr>
        <w:numPr>
          <w:ilvl w:val="0"/>
          <w:numId w:val="12"/>
        </w:numPr>
        <w:ind w:hanging="360"/>
      </w:pPr>
      <w:r>
        <w:t>Vysoké školstvo poskytujúce vzde</w:t>
      </w:r>
      <w:r>
        <w:t xml:space="preserve">lávanie spĺňajúce medzinárodné štandardy a tvoriace súčasť európskeho priestoru vysokoškolského vzdelávania EHEA </w:t>
      </w:r>
    </w:p>
    <w:p w:rsidR="00071B02" w:rsidRDefault="008F460B">
      <w:pPr>
        <w:numPr>
          <w:ilvl w:val="0"/>
          <w:numId w:val="12"/>
        </w:numPr>
        <w:ind w:hanging="360"/>
      </w:pPr>
      <w:r>
        <w:t xml:space="preserve">Vysoké školstvo dostupné pre všetkých občanov, ktorí oň prejavia záujem a preukážu predpoklady na jeho úspešné absolvovanie </w:t>
      </w:r>
    </w:p>
    <w:p w:rsidR="00071B02" w:rsidRDefault="008F460B">
      <w:pPr>
        <w:numPr>
          <w:ilvl w:val="0"/>
          <w:numId w:val="12"/>
        </w:numPr>
        <w:ind w:hanging="360"/>
      </w:pPr>
      <w:r>
        <w:t>Vysoké školstvo t</w:t>
      </w:r>
      <w:r>
        <w:t xml:space="preserve">voriace jadro výskumného potenciálu Slovenska v oblasti základného výskumu a v oblasti aplikovaného výskumu a súčasť európskeho výskumného priestoru ERA </w:t>
      </w:r>
    </w:p>
    <w:p w:rsidR="00071B02" w:rsidRDefault="008F460B">
      <w:pPr>
        <w:numPr>
          <w:ilvl w:val="0"/>
          <w:numId w:val="12"/>
        </w:numPr>
        <w:spacing w:after="241"/>
        <w:ind w:hanging="360"/>
      </w:pPr>
      <w:r>
        <w:t>Vysoké školstvo reagujúce na aktuálne a očakávané potreby spoločenskej a hospodárskej praxe a predstav</w:t>
      </w:r>
      <w:r>
        <w:t xml:space="preserve">ujúce motor rozvoja spoločnosti a regiónov Slovenska </w:t>
      </w:r>
    </w:p>
    <w:p w:rsidR="00071B02" w:rsidRDefault="008F460B">
      <w:pPr>
        <w:pStyle w:val="Nadpis2"/>
        <w:ind w:left="-5"/>
      </w:pPr>
      <w:bookmarkStart w:id="27" w:name="_Toc89345"/>
      <w:r>
        <w:t xml:space="preserve">4. 2 Prehľad a opis opatrení </w:t>
      </w:r>
      <w:bookmarkEnd w:id="27"/>
    </w:p>
    <w:p w:rsidR="00071B02" w:rsidRDefault="008F460B">
      <w:r>
        <w:t xml:space="preserve">Detailný prehľad opatrení je uvedený v Implementačnom pláne, ktorý obsahuje popis plnenia, obdobie, navrhovaný odhad výdavkov, príslušnosť k jednotlivým akčným plánom.  </w:t>
      </w:r>
    </w:p>
    <w:p w:rsidR="00071B02" w:rsidRDefault="008F460B">
      <w:pPr>
        <w:spacing w:after="190"/>
      </w:pPr>
      <w:r>
        <w:t xml:space="preserve">V </w:t>
      </w:r>
      <w:r>
        <w:t xml:space="preserve">tejto časti uvádzame korešpondenciu medzi opatreniami a jednotlivými konkrétnymi cieľmi. </w:t>
      </w:r>
    </w:p>
    <w:p w:rsidR="00071B02" w:rsidRDefault="008F460B">
      <w:pPr>
        <w:pStyle w:val="Nadpis3"/>
        <w:spacing w:after="182"/>
        <w:ind w:left="-5"/>
      </w:pPr>
      <w:bookmarkStart w:id="28" w:name="_Toc89346"/>
      <w:r>
        <w:lastRenderedPageBreak/>
        <w:t xml:space="preserve">4.2.1. Opatrenia v regionálnom školstve </w:t>
      </w:r>
      <w:bookmarkEnd w:id="28"/>
    </w:p>
    <w:p w:rsidR="00071B02" w:rsidRDefault="008F460B">
      <w:pPr>
        <w:numPr>
          <w:ilvl w:val="0"/>
          <w:numId w:val="13"/>
        </w:numPr>
        <w:spacing w:after="67" w:line="267" w:lineRule="auto"/>
        <w:ind w:hanging="360"/>
      </w:pPr>
      <w:r>
        <w:rPr>
          <w:b/>
        </w:rPr>
        <w:t xml:space="preserve">Dostatočne financované a efektívne fungujúce školstvo systémovo podporujúce kvalitu </w:t>
      </w:r>
    </w:p>
    <w:p w:rsidR="00071B02" w:rsidRDefault="008F460B">
      <w:pPr>
        <w:numPr>
          <w:ilvl w:val="1"/>
          <w:numId w:val="13"/>
        </w:numPr>
        <w:ind w:hanging="360"/>
      </w:pPr>
      <w:r>
        <w:t>Doplnenie normatívneho spôsobu financova</w:t>
      </w:r>
      <w:r>
        <w:t xml:space="preserve">nia škôl o nové prvky, ktoré zvýšia efektívnosť financovania škôl </w:t>
      </w:r>
    </w:p>
    <w:p w:rsidR="00071B02" w:rsidRDefault="008F460B">
      <w:pPr>
        <w:spacing w:after="39"/>
        <w:ind w:left="730"/>
      </w:pPr>
      <w:r>
        <w:t xml:space="preserve">Zjednodušenie a redukcia rozsahu školskej legislatívy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Definícia obsahu právnej identity školy a jej ukotvenie naprieč legislatívou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Systematické znižovanie administratívnej záťaže škôl </w:t>
      </w:r>
    </w:p>
    <w:p w:rsidR="00071B02" w:rsidRDefault="008F460B">
      <w:pPr>
        <w:numPr>
          <w:ilvl w:val="1"/>
          <w:numId w:val="13"/>
        </w:numPr>
        <w:ind w:hanging="360"/>
      </w:pPr>
      <w:r>
        <w:t>Zm</w:t>
      </w:r>
      <w:r>
        <w:t xml:space="preserve">eny v systéme priamo riadených organizácií ministerstva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Postupný presun časti kompetencií štátnej správy v oblasti riadenia a financovania regionálneho školstva z MV SR späť na MŠVVŠ SR </w:t>
      </w:r>
    </w:p>
    <w:p w:rsidR="00071B02" w:rsidRDefault="008F460B">
      <w:pPr>
        <w:numPr>
          <w:ilvl w:val="1"/>
          <w:numId w:val="13"/>
        </w:numPr>
        <w:spacing w:after="28" w:line="305" w:lineRule="auto"/>
        <w:ind w:hanging="360"/>
      </w:pPr>
      <w:r>
        <w:t>Vytvorenie systému odborného a metodického riadenia miest a obcí v o</w:t>
      </w:r>
      <w:r>
        <w:t xml:space="preserve">blasti preneseného výkonu štátnej správy v školstve vrátane podmienok na systematické vzdelávanie zamestnancov územnej samosprávy plniacich úlohy štátnej správy </w:t>
      </w:r>
    </w:p>
    <w:p w:rsidR="00071B02" w:rsidRDefault="008F460B">
      <w:pPr>
        <w:numPr>
          <w:ilvl w:val="1"/>
          <w:numId w:val="13"/>
        </w:numPr>
        <w:spacing w:after="28"/>
        <w:ind w:hanging="360"/>
      </w:pPr>
      <w:r>
        <w:t xml:space="preserve">Priebežné skvalitňovanie rezortného informačného systému zahŕňajúceho všetky údaje potrebné pre efektívne riadenie regionálneho školstva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Vymedzenie postavenia riaditeľa školy ako lídra zmeny na úrovni školy </w:t>
      </w:r>
    </w:p>
    <w:p w:rsidR="00071B02" w:rsidRDefault="008F460B">
      <w:pPr>
        <w:numPr>
          <w:ilvl w:val="1"/>
          <w:numId w:val="13"/>
        </w:numPr>
        <w:ind w:hanging="360"/>
      </w:pPr>
      <w:r>
        <w:t>Úprava podmienok na zaraďovanie a vyraďovanie š</w:t>
      </w:r>
      <w:r>
        <w:t xml:space="preserve">kôl zo siete </w:t>
      </w:r>
    </w:p>
    <w:p w:rsidR="00071B02" w:rsidRDefault="008F460B">
      <w:pPr>
        <w:numPr>
          <w:ilvl w:val="1"/>
          <w:numId w:val="13"/>
        </w:numPr>
        <w:spacing w:after="27"/>
        <w:ind w:hanging="360"/>
      </w:pPr>
      <w:r>
        <w:t xml:space="preserve">Postupná optimalizácia siete škôl a školských zariadení s dôrazom na druhý stupeň základných škôl a stredné školy.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Úprava počtu žiakov v osemročných gymnáziách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Zjednotenie podmienok prechodu zo základných škôl do bilingválnych gymnázií len z </w:t>
      </w:r>
    </w:p>
    <w:p w:rsidR="00071B02" w:rsidRDefault="008F460B">
      <w:pPr>
        <w:spacing w:after="27"/>
        <w:ind w:left="730"/>
      </w:pPr>
      <w:r>
        <w:t xml:space="preserve">9. ročníka </w:t>
      </w:r>
    </w:p>
    <w:p w:rsidR="00071B02" w:rsidRDefault="008F460B">
      <w:pPr>
        <w:numPr>
          <w:ilvl w:val="0"/>
          <w:numId w:val="13"/>
        </w:numPr>
        <w:spacing w:after="67" w:line="267" w:lineRule="auto"/>
        <w:ind w:hanging="360"/>
      </w:pPr>
      <w:r>
        <w:rPr>
          <w:b/>
        </w:rPr>
        <w:t xml:space="preserve">Kvalitný, spoločensky rešpektovaný a primerane odmeňovaný učiteľ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Podpora zvýšenia atraktivity učiteľského povolania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Právne ukotvenie etického kódexu učiteľa </w:t>
      </w:r>
    </w:p>
    <w:p w:rsidR="00071B02" w:rsidRDefault="008F460B">
      <w:pPr>
        <w:numPr>
          <w:ilvl w:val="1"/>
          <w:numId w:val="13"/>
        </w:numPr>
        <w:ind w:hanging="360"/>
      </w:pPr>
      <w:r>
        <w:t>F</w:t>
      </w:r>
      <w:r>
        <w:t xml:space="preserve">inančná podpora technického personálu na správu IKT v školách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Zvýšenie platovej tarify pedagogických zamestnancov a odborných zamestnancov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Zvýšenie finančného ocenenia učiteľov na začiatku kariéry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Revízia profesijných štandardov učiteľa </w:t>
      </w:r>
    </w:p>
    <w:p w:rsidR="00071B02" w:rsidRDefault="008F460B">
      <w:pPr>
        <w:numPr>
          <w:ilvl w:val="1"/>
          <w:numId w:val="13"/>
        </w:numPr>
        <w:ind w:hanging="360"/>
      </w:pPr>
      <w:r>
        <w:t>Zmena kontinuál</w:t>
      </w:r>
      <w:r>
        <w:t xml:space="preserve">neho vzdelávania pedagogických zamestnancov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Zmena kariérového systému učiteľov </w:t>
      </w:r>
    </w:p>
    <w:p w:rsidR="00071B02" w:rsidRDefault="008F460B">
      <w:pPr>
        <w:numPr>
          <w:ilvl w:val="1"/>
          <w:numId w:val="13"/>
        </w:numPr>
        <w:spacing w:after="28"/>
        <w:ind w:hanging="360"/>
      </w:pPr>
      <w:r>
        <w:t xml:space="preserve">Skvalitnenie prípravy na učiteľské povolanie na základných, stredných a vysokých školách </w:t>
      </w:r>
    </w:p>
    <w:p w:rsidR="00071B02" w:rsidRDefault="008F460B">
      <w:pPr>
        <w:numPr>
          <w:ilvl w:val="1"/>
          <w:numId w:val="13"/>
        </w:numPr>
        <w:spacing w:after="28"/>
        <w:ind w:hanging="360"/>
      </w:pPr>
      <w:r>
        <w:t>Vytvorenie postupu a metodických materiálov na budovanie novej kultúry škôl ako učiac</w:t>
      </w:r>
      <w:r>
        <w:t xml:space="preserve">ich sa organizácií </w:t>
      </w:r>
    </w:p>
    <w:p w:rsidR="00071B02" w:rsidRDefault="008F460B">
      <w:pPr>
        <w:numPr>
          <w:ilvl w:val="1"/>
          <w:numId w:val="13"/>
        </w:numPr>
        <w:ind w:hanging="360"/>
      </w:pPr>
      <w:r>
        <w:lastRenderedPageBreak/>
        <w:t xml:space="preserve">Vytvorenie postupu a metodických materiálov na budovanie vzťahov so všetkými aktérmi vzdelávania a verejnosťou v lokalite školy </w:t>
      </w:r>
    </w:p>
    <w:p w:rsidR="00071B02" w:rsidRDefault="008F460B">
      <w:pPr>
        <w:numPr>
          <w:ilvl w:val="0"/>
          <w:numId w:val="13"/>
        </w:numPr>
        <w:spacing w:after="67" w:line="267" w:lineRule="auto"/>
        <w:ind w:hanging="360"/>
      </w:pPr>
      <w:r>
        <w:rPr>
          <w:b/>
        </w:rPr>
        <w:t xml:space="preserve">Kvalitná výchova a vzdelávanie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Úprava štátnych vzdelávacích programov </w:t>
      </w:r>
    </w:p>
    <w:p w:rsidR="00071B02" w:rsidRDefault="008F460B">
      <w:pPr>
        <w:numPr>
          <w:ilvl w:val="1"/>
          <w:numId w:val="13"/>
        </w:numPr>
        <w:ind w:hanging="360"/>
      </w:pPr>
      <w:r>
        <w:t>Vypracovanie modelových školských v</w:t>
      </w:r>
      <w:r>
        <w:t xml:space="preserve">zdelávacích programov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Podpora čitateľskej, matematickej a prírodovednej gramotnosti </w:t>
      </w:r>
    </w:p>
    <w:p w:rsidR="00071B02" w:rsidRDefault="008F460B">
      <w:pPr>
        <w:numPr>
          <w:ilvl w:val="1"/>
          <w:numId w:val="13"/>
        </w:numPr>
        <w:spacing w:after="30"/>
        <w:ind w:hanging="360"/>
      </w:pPr>
      <w:r>
        <w:t xml:space="preserve">Odborná a metodická podpora pedagogickým zamestnancom pri výbere a prispôsobovaní učiva a tvorbe školských vzdelávacích programov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Podpora zamerania obsahu výchovy a vzdelávania k zdravému životnému štýlu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Zabezpečenie výučby smerujúcej k efektívnej a cielenej prevencii prejavov rasizmu, xenofóbie, antisemitizmu, extrémizmu a ostatných foriem intolerancie  </w:t>
      </w:r>
    </w:p>
    <w:p w:rsidR="00071B02" w:rsidRDefault="008F460B">
      <w:pPr>
        <w:spacing w:after="39"/>
        <w:ind w:left="730"/>
      </w:pPr>
      <w:r>
        <w:t>Úprava procesu zabezpečovan</w:t>
      </w:r>
      <w:r>
        <w:t xml:space="preserve">ia učebníc a ďalších učebných zdrojov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Rozvoj centrálneho úložiska digitálneho obsahu s licenciami na voľné šírenie obsahu </w:t>
      </w:r>
    </w:p>
    <w:p w:rsidR="00071B02" w:rsidRDefault="008F460B">
      <w:pPr>
        <w:numPr>
          <w:ilvl w:val="1"/>
          <w:numId w:val="13"/>
        </w:numPr>
        <w:spacing w:after="27"/>
        <w:ind w:hanging="360"/>
      </w:pPr>
      <w:r>
        <w:t xml:space="preserve">Zníženie modernizačného dlhu v nadväznosti na povinné materiálno-technické a priestorové zabezpečenie výchovno-vzdelávacej činnosti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Vytvorenie podmienok na zavedenie slovného hodnotenia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Zlepšenie využitia testovaní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Modifikácia maturitnej skúšky na gymnáziách a SOŠ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Podpora samohodnotenia škôl </w:t>
      </w:r>
    </w:p>
    <w:p w:rsidR="00071B02" w:rsidRDefault="008F460B">
      <w:pPr>
        <w:numPr>
          <w:ilvl w:val="0"/>
          <w:numId w:val="13"/>
        </w:numPr>
        <w:spacing w:after="67" w:line="267" w:lineRule="auto"/>
        <w:ind w:hanging="360"/>
      </w:pPr>
      <w:r>
        <w:rPr>
          <w:b/>
        </w:rPr>
        <w:t xml:space="preserve">Kvalitné odborné vzdelávanie a príprava reagujúce na aktuálne a očakávané potreby praxe </w:t>
      </w:r>
    </w:p>
    <w:p w:rsidR="00071B02" w:rsidRDefault="008F460B">
      <w:pPr>
        <w:numPr>
          <w:ilvl w:val="1"/>
          <w:numId w:val="13"/>
        </w:numPr>
        <w:ind w:hanging="360"/>
      </w:pPr>
      <w:r>
        <w:t>S</w:t>
      </w:r>
      <w:r>
        <w:t xml:space="preserve">kvalitnenie systému duálneho vzdelávania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Podpora prepojenia vzdelávania v stredných školách s praxou </w:t>
      </w:r>
    </w:p>
    <w:p w:rsidR="00071B02" w:rsidRDefault="008F460B">
      <w:pPr>
        <w:numPr>
          <w:ilvl w:val="1"/>
          <w:numId w:val="13"/>
        </w:numPr>
        <w:spacing w:after="30"/>
        <w:ind w:hanging="360"/>
      </w:pPr>
      <w:r>
        <w:t xml:space="preserve">Realizácia efektívnej kariérovej výchovy a kariérového poradenstva v základných školách a stredných školách </w:t>
      </w:r>
    </w:p>
    <w:p w:rsidR="00071B02" w:rsidRDefault="008F460B">
      <w:pPr>
        <w:numPr>
          <w:ilvl w:val="1"/>
          <w:numId w:val="13"/>
        </w:numPr>
        <w:ind w:hanging="360"/>
      </w:pPr>
      <w:r>
        <w:t>Vytváranie profesijne orientovaných programo</w:t>
      </w:r>
      <w:r>
        <w:t xml:space="preserve">v pre vyššie odborné vzdelanie </w:t>
      </w:r>
    </w:p>
    <w:p w:rsidR="00071B02" w:rsidRDefault="008F460B">
      <w:pPr>
        <w:numPr>
          <w:ilvl w:val="1"/>
          <w:numId w:val="13"/>
        </w:numPr>
        <w:spacing w:after="28" w:line="305" w:lineRule="auto"/>
        <w:ind w:hanging="360"/>
      </w:pPr>
      <w:r>
        <w:t xml:space="preserve">Rozšírenie možnosti vstupu zamestnávateľov do počiatočného a ďalšieho profesijného vzdelávania učiteľov odborných predmetov a majstrov odbornej výchovy podporou ich umiestnenia na stáže vo firmách </w:t>
      </w:r>
    </w:p>
    <w:p w:rsidR="00071B02" w:rsidRDefault="008F460B">
      <w:pPr>
        <w:numPr>
          <w:ilvl w:val="0"/>
          <w:numId w:val="13"/>
        </w:numPr>
        <w:spacing w:after="67" w:line="267" w:lineRule="auto"/>
        <w:ind w:hanging="360"/>
      </w:pPr>
      <w:r>
        <w:rPr>
          <w:b/>
        </w:rPr>
        <w:t>Školstvo dostupné pre všet</w:t>
      </w:r>
      <w:r>
        <w:rPr>
          <w:b/>
        </w:rPr>
        <w:t xml:space="preserve">kých </w:t>
      </w:r>
    </w:p>
    <w:p w:rsidR="00071B02" w:rsidRDefault="008F460B">
      <w:pPr>
        <w:numPr>
          <w:ilvl w:val="1"/>
          <w:numId w:val="13"/>
        </w:numPr>
        <w:spacing w:after="27"/>
        <w:ind w:hanging="360"/>
      </w:pPr>
      <w:r>
        <w:t xml:space="preserve">Zavedenie povinného predprimárneho vzdelávania v materskej škole pre každé dieťa jeden rok pred plnením povinnej školskej dochádzky v základnej škole 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Zavedenie právneho nároku na predprimárne vzdelávanie dieťaťa od 3 rokov </w:t>
      </w:r>
    </w:p>
    <w:p w:rsidR="00071B02" w:rsidRDefault="008F460B">
      <w:pPr>
        <w:numPr>
          <w:ilvl w:val="1"/>
          <w:numId w:val="13"/>
        </w:numPr>
        <w:ind w:hanging="360"/>
      </w:pPr>
      <w:r>
        <w:t>Odstránenie finančných b</w:t>
      </w:r>
      <w:r>
        <w:t xml:space="preserve">ariér prístupu detí z rodín s nízkym príjmom k predprimárnemu vzdelávaniu </w:t>
      </w:r>
    </w:p>
    <w:p w:rsidR="00071B02" w:rsidRDefault="008F460B">
      <w:pPr>
        <w:numPr>
          <w:ilvl w:val="1"/>
          <w:numId w:val="13"/>
        </w:numPr>
        <w:spacing w:after="28"/>
        <w:ind w:hanging="360"/>
      </w:pPr>
      <w:r>
        <w:t xml:space="preserve">Prehodnotenie aktuálnych kvalifikačných predpokladov na vykonávanie činností v materských školách </w:t>
      </w:r>
    </w:p>
    <w:p w:rsidR="00071B02" w:rsidRDefault="008F460B">
      <w:pPr>
        <w:numPr>
          <w:ilvl w:val="1"/>
          <w:numId w:val="13"/>
        </w:numPr>
        <w:ind w:hanging="360"/>
      </w:pPr>
      <w:r>
        <w:lastRenderedPageBreak/>
        <w:t xml:space="preserve">Nová forma podpory detí a žiakov zo sociálne znevýhodneného prostredia </w:t>
      </w:r>
    </w:p>
    <w:p w:rsidR="00071B02" w:rsidRDefault="008F460B">
      <w:pPr>
        <w:numPr>
          <w:ilvl w:val="1"/>
          <w:numId w:val="13"/>
        </w:numPr>
        <w:spacing w:after="31"/>
        <w:ind w:hanging="360"/>
      </w:pPr>
      <w:r>
        <w:t xml:space="preserve">Podpora výchovy a vzdelávania žiakov zo sociálne znevýhodneného prostredia na stredných školách </w:t>
      </w:r>
    </w:p>
    <w:p w:rsidR="00071B02" w:rsidRDefault="008F460B">
      <w:pPr>
        <w:numPr>
          <w:ilvl w:val="1"/>
          <w:numId w:val="13"/>
        </w:numPr>
        <w:spacing w:after="28"/>
        <w:ind w:hanging="360"/>
      </w:pPr>
      <w:r>
        <w:t xml:space="preserve">Podpora plynulého prechodu žiakov zo sociálne znevýhodneného prostredia zo základnej na strednú školu </w:t>
      </w:r>
    </w:p>
    <w:p w:rsidR="00071B02" w:rsidRDefault="008F460B">
      <w:pPr>
        <w:numPr>
          <w:ilvl w:val="1"/>
          <w:numId w:val="13"/>
        </w:numPr>
        <w:ind w:hanging="360"/>
      </w:pPr>
      <w:r>
        <w:t>Vytvorenie stratégie postupného rozvoja inkluzívneho vzd</w:t>
      </w:r>
      <w:r>
        <w:t xml:space="preserve">elávania na Slovensku </w:t>
      </w:r>
    </w:p>
    <w:p w:rsidR="00071B02" w:rsidRDefault="008F460B">
      <w:pPr>
        <w:numPr>
          <w:ilvl w:val="1"/>
          <w:numId w:val="13"/>
        </w:numPr>
        <w:spacing w:after="28"/>
        <w:ind w:hanging="360"/>
      </w:pPr>
      <w:r>
        <w:t xml:space="preserve">Vytvorenie materiálno-technických podmienok na zabezpečenie naplnenia potrieb detí a žiakov so špeciálnymi výchovno-vzdelávacími potrebami </w:t>
      </w:r>
    </w:p>
    <w:p w:rsidR="00071B02" w:rsidRDefault="008F460B">
      <w:pPr>
        <w:numPr>
          <w:ilvl w:val="1"/>
          <w:numId w:val="13"/>
        </w:numPr>
        <w:ind w:hanging="360"/>
      </w:pPr>
      <w:r>
        <w:t>Zvýšenie počtu odborných zamestnancov v školách, najmä asistentov učiteľa, sociálnych pedagóg</w:t>
      </w:r>
      <w:r>
        <w:t xml:space="preserve">ov, školských psychológov a špeciálnych pedagógov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Skvalitnenie činnosti školských zariadení výchovného poradenstva a prevencie </w:t>
      </w:r>
    </w:p>
    <w:p w:rsidR="00071B02" w:rsidRDefault="008F460B">
      <w:pPr>
        <w:numPr>
          <w:ilvl w:val="1"/>
          <w:numId w:val="13"/>
        </w:numPr>
        <w:ind w:hanging="360"/>
      </w:pPr>
      <w:r>
        <w:t>Odstránenie dvojzmennej prevádzky v základných školách, najmä v lokalitách s vysokou koncentráciou marginalizovaných rómskych k</w:t>
      </w:r>
      <w:r>
        <w:t xml:space="preserve">omunít </w:t>
      </w:r>
    </w:p>
    <w:p w:rsidR="00071B02" w:rsidRDefault="008F460B">
      <w:pPr>
        <w:numPr>
          <w:ilvl w:val="1"/>
          <w:numId w:val="13"/>
        </w:numPr>
        <w:ind w:hanging="360"/>
      </w:pPr>
      <w:r>
        <w:t xml:space="preserve">Rozvoj vzdelávania detí a žiakov patriacich k národnostným menšinám v ich materinskom jazyku </w:t>
      </w:r>
    </w:p>
    <w:p w:rsidR="00071B02" w:rsidRDefault="008F460B">
      <w:pPr>
        <w:spacing w:after="28"/>
        <w:ind w:left="730"/>
      </w:pPr>
      <w:r>
        <w:t xml:space="preserve">Zmena metodiky výučby slovenského jazyka na menšinových školách v záujme jeho lepšieho ovládania </w:t>
      </w:r>
    </w:p>
    <w:p w:rsidR="00071B02" w:rsidRDefault="008F460B">
      <w:pPr>
        <w:numPr>
          <w:ilvl w:val="1"/>
          <w:numId w:val="13"/>
        </w:numPr>
        <w:spacing w:after="28" w:line="305" w:lineRule="auto"/>
        <w:ind w:hanging="360"/>
      </w:pPr>
      <w:r>
        <w:t xml:space="preserve">Podpora odborného vzdelávania a prípravy v školách s vyučovacím jazykom národnostných menšín, vrátane odborného vzdelávania a prípravy v systéme duálneho vzdelávania </w:t>
      </w:r>
    </w:p>
    <w:p w:rsidR="00071B02" w:rsidRDefault="008F460B">
      <w:pPr>
        <w:numPr>
          <w:ilvl w:val="1"/>
          <w:numId w:val="13"/>
        </w:numPr>
        <w:spacing w:after="30"/>
        <w:ind w:hanging="360"/>
      </w:pPr>
      <w:r>
        <w:t>Posilnenie materiálno-technického zabezpečenia škôl, tvorba učebníc a ďalších vzdelávacíc</w:t>
      </w:r>
      <w:r>
        <w:t xml:space="preserve">h zdrojov na školách s vyučovacím jazykom národnostných menšín </w:t>
      </w:r>
    </w:p>
    <w:p w:rsidR="00071B02" w:rsidRDefault="008F460B">
      <w:pPr>
        <w:numPr>
          <w:ilvl w:val="1"/>
          <w:numId w:val="13"/>
        </w:numPr>
        <w:spacing w:after="28"/>
        <w:ind w:hanging="360"/>
      </w:pPr>
      <w:r>
        <w:t xml:space="preserve">Podpora vyučovania v základných školách a stredných školách o živote národnostných menšín žijúcich v SR a ich histórii </w:t>
      </w:r>
    </w:p>
    <w:p w:rsidR="00071B02" w:rsidRDefault="008F460B">
      <w:pPr>
        <w:numPr>
          <w:ilvl w:val="1"/>
          <w:numId w:val="13"/>
        </w:numPr>
        <w:ind w:hanging="360"/>
      </w:pPr>
      <w:r>
        <w:t>Podpora špecifických úloh v poslaní vysokých škôl v oblasti rozvoja náro</w:t>
      </w:r>
      <w:r>
        <w:t xml:space="preserve">dnostných menšín, ich kultúry, jazyka, výskumu, histórie, etnológie a pod. </w:t>
      </w:r>
    </w:p>
    <w:p w:rsidR="00071B02" w:rsidRDefault="008F460B">
      <w:pPr>
        <w:numPr>
          <w:ilvl w:val="0"/>
          <w:numId w:val="13"/>
        </w:numPr>
        <w:spacing w:after="67" w:line="267" w:lineRule="auto"/>
        <w:ind w:hanging="360"/>
      </w:pPr>
      <w:r>
        <w:rPr>
          <w:b/>
        </w:rPr>
        <w:t xml:space="preserve">Školstvo poskytujúce deťom a žiakom základ zdravého životného štýlu </w:t>
      </w:r>
    </w:p>
    <w:p w:rsidR="00071B02" w:rsidRDefault="008F460B">
      <w:pPr>
        <w:numPr>
          <w:ilvl w:val="1"/>
          <w:numId w:val="13"/>
        </w:numPr>
        <w:spacing w:after="144"/>
        <w:ind w:hanging="360"/>
      </w:pPr>
      <w:r>
        <w:t xml:space="preserve">Podpora telesnej a športovej výchovy </w:t>
      </w:r>
    </w:p>
    <w:p w:rsidR="00071B02" w:rsidRDefault="008F460B">
      <w:pPr>
        <w:pStyle w:val="Nadpis3"/>
        <w:spacing w:after="180"/>
        <w:ind w:left="-5"/>
      </w:pPr>
      <w:bookmarkStart w:id="29" w:name="_Toc89347"/>
      <w:r>
        <w:t xml:space="preserve">4.2.2. Opatrenia vo vysokom školstve </w:t>
      </w:r>
      <w:bookmarkEnd w:id="29"/>
    </w:p>
    <w:p w:rsidR="00071B02" w:rsidRDefault="008F460B">
      <w:pPr>
        <w:numPr>
          <w:ilvl w:val="0"/>
          <w:numId w:val="14"/>
        </w:numPr>
        <w:spacing w:after="67" w:line="267" w:lineRule="auto"/>
        <w:ind w:hanging="360"/>
      </w:pPr>
      <w:r>
        <w:rPr>
          <w:b/>
        </w:rPr>
        <w:t xml:space="preserve">Dostatočne financované a efektívne fungujúce vysoké školstvo systémovo podporujúce kvalitu plnenia poslania vysokých škôl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Úprava systému financovania vysokého školstva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Zavedenie systému úplnej kalkulácie nákladov na verejných vysokých školách </w:t>
      </w:r>
    </w:p>
    <w:p w:rsidR="00071B02" w:rsidRDefault="008F460B">
      <w:pPr>
        <w:numPr>
          <w:ilvl w:val="1"/>
          <w:numId w:val="14"/>
        </w:numPr>
        <w:ind w:hanging="360"/>
      </w:pPr>
      <w:r>
        <w:t>Úprava sys</w:t>
      </w:r>
      <w:r>
        <w:t xml:space="preserve">tému riadenia vysokých škôl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Podporenie rozvojových projektov v oblasti IKT na vysokých školách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Znižovanie administratívnej náročnosti v oblasti vysokého školstva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Zabezpečenie informácií o vysokých školách a ponuke ich aktivít </w:t>
      </w:r>
    </w:p>
    <w:p w:rsidR="00071B02" w:rsidRDefault="008F460B">
      <w:pPr>
        <w:numPr>
          <w:ilvl w:val="1"/>
          <w:numId w:val="14"/>
        </w:numPr>
        <w:ind w:hanging="360"/>
      </w:pPr>
      <w:r>
        <w:lastRenderedPageBreak/>
        <w:t>Podpora popularizácie činn</w:t>
      </w:r>
      <w:r>
        <w:t xml:space="preserve">osti vysokých škôl a budovania identity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Vytvorenie finančnej schémy na financovanie akútnych potrieb rekonštrukcií objektov vysokých škôl a ubytovacích zariadení s transparentnými kritériami </w:t>
      </w:r>
    </w:p>
    <w:p w:rsidR="00071B02" w:rsidRDefault="008F460B">
      <w:pPr>
        <w:numPr>
          <w:ilvl w:val="0"/>
          <w:numId w:val="14"/>
        </w:numPr>
        <w:spacing w:after="67" w:line="267" w:lineRule="auto"/>
        <w:ind w:hanging="360"/>
      </w:pPr>
      <w:r>
        <w:rPr>
          <w:b/>
        </w:rPr>
        <w:t>Kvalitný, spoločensky rešpektovaný a primerane odmeňovaný vysok</w:t>
      </w:r>
      <w:r>
        <w:rPr>
          <w:b/>
        </w:rPr>
        <w:t xml:space="preserve">oškolský učiteľ a výskumný pracovník </w:t>
      </w:r>
    </w:p>
    <w:p w:rsidR="00071B02" w:rsidRDefault="008F460B">
      <w:pPr>
        <w:numPr>
          <w:ilvl w:val="1"/>
          <w:numId w:val="14"/>
        </w:numPr>
        <w:spacing w:after="28"/>
        <w:ind w:hanging="360"/>
      </w:pPr>
      <w:r>
        <w:t xml:space="preserve">Úprava podmienok pracovno-právnych vzťahov vysokoškolských učiteľov a výskumných pracovníkov </w:t>
      </w:r>
    </w:p>
    <w:p w:rsidR="00071B02" w:rsidRDefault="008F460B">
      <w:pPr>
        <w:numPr>
          <w:ilvl w:val="1"/>
          <w:numId w:val="14"/>
        </w:numPr>
        <w:spacing w:after="29"/>
        <w:ind w:hanging="360"/>
      </w:pPr>
      <w:r>
        <w:t xml:space="preserve">Úprava pravidiel zverejňovania informácií o výberových konaniach na miesta vysokoškolských učiteľov </w:t>
      </w:r>
    </w:p>
    <w:p w:rsidR="00071B02" w:rsidRDefault="008F460B">
      <w:pPr>
        <w:numPr>
          <w:ilvl w:val="1"/>
          <w:numId w:val="14"/>
        </w:numPr>
        <w:spacing w:after="25"/>
        <w:ind w:hanging="360"/>
      </w:pPr>
      <w:r>
        <w:t>Podstatná úprava tarifn</w:t>
      </w:r>
      <w:r>
        <w:t xml:space="preserve">ých platov vysokoškolských učiteľov a výskumných/umeleckých pracovníkov </w:t>
      </w:r>
    </w:p>
    <w:p w:rsidR="00071B02" w:rsidRDefault="008F460B">
      <w:pPr>
        <w:numPr>
          <w:ilvl w:val="1"/>
          <w:numId w:val="14"/>
        </w:numPr>
        <w:spacing w:after="29"/>
        <w:ind w:hanging="360"/>
      </w:pPr>
      <w:r>
        <w:t xml:space="preserve">Zvyšovanie platov vysokoškolských učiteľov a vedecko-výskumných zamestnancov na začiatku kariéry </w:t>
      </w:r>
    </w:p>
    <w:p w:rsidR="00071B02" w:rsidRDefault="008F460B">
      <w:pPr>
        <w:numPr>
          <w:ilvl w:val="1"/>
          <w:numId w:val="14"/>
        </w:numPr>
        <w:spacing w:after="28" w:line="305" w:lineRule="auto"/>
        <w:ind w:hanging="360"/>
      </w:pPr>
      <w:r>
        <w:t>Vyňatie odmeňovanie vysokoškolských učiteľov a výskumných a umeleckých pracovníkov na</w:t>
      </w:r>
      <w:r>
        <w:t xml:space="preserve"> verejných vysokých školách zo systému odmeňovania zamestnancov vykonávajúcich prácu vo verejnej službe </w:t>
      </w:r>
    </w:p>
    <w:p w:rsidR="00071B02" w:rsidRDefault="008F460B">
      <w:pPr>
        <w:numPr>
          <w:ilvl w:val="0"/>
          <w:numId w:val="14"/>
        </w:numPr>
        <w:spacing w:after="67" w:line="267" w:lineRule="auto"/>
        <w:ind w:hanging="360"/>
      </w:pPr>
      <w:r>
        <w:rPr>
          <w:b/>
        </w:rPr>
        <w:t xml:space="preserve">Vysoké školstvo poskytujúce vzdelávanie spĺňajúce medzinárodné štandardy a tvoriace súčasť európskeho priestoru vysokoškolského vzdelávania EHEA </w:t>
      </w:r>
    </w:p>
    <w:p w:rsidR="00071B02" w:rsidRDefault="008F460B">
      <w:pPr>
        <w:spacing w:after="28" w:line="305" w:lineRule="auto"/>
        <w:ind w:left="720" w:firstLine="0"/>
        <w:jc w:val="left"/>
      </w:pPr>
      <w:r>
        <w:t>Zosúl</w:t>
      </w:r>
      <w:r>
        <w:t xml:space="preserve">adenie systému zabezpečovania kvality vysokoškolského vzdelávania so Štandardmi a usmerneniami na zabezpečovanie kvality v Európskom priestore vysokoškolského vzdelávania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Schválenie štandardov pre akreditáciu v oblasti vysokého školstva </w:t>
      </w:r>
    </w:p>
    <w:p w:rsidR="00071B02" w:rsidRDefault="008F460B">
      <w:pPr>
        <w:numPr>
          <w:ilvl w:val="1"/>
          <w:numId w:val="14"/>
        </w:numPr>
        <w:ind w:hanging="360"/>
      </w:pPr>
      <w:r>
        <w:t>Schválenie revido</w:t>
      </w:r>
      <w:r>
        <w:t xml:space="preserve">vanej sústavy študijných odborov </w:t>
      </w:r>
    </w:p>
    <w:p w:rsidR="00071B02" w:rsidRDefault="008F460B">
      <w:pPr>
        <w:numPr>
          <w:ilvl w:val="1"/>
          <w:numId w:val="14"/>
        </w:numPr>
        <w:spacing w:after="27"/>
        <w:ind w:hanging="360"/>
      </w:pPr>
      <w:r>
        <w:t xml:space="preserve">Systematická podpora zavádzania inovatívneho vysokoškolského vzdelávania a vzdelávania orientovaného na študenta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Vytvorenie možnosti pre nový typ absolventa bakalárskeho štúdia </w:t>
      </w:r>
    </w:p>
    <w:p w:rsidR="00071B02" w:rsidRDefault="008F460B">
      <w:pPr>
        <w:numPr>
          <w:ilvl w:val="1"/>
          <w:numId w:val="14"/>
        </w:numPr>
        <w:spacing w:after="27"/>
        <w:ind w:hanging="360"/>
      </w:pPr>
      <w:r>
        <w:t xml:space="preserve">Identifikovanie očakávanej úrovne vedomostí a kompetencií na začiatku vysokoškolského štúdia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Vytvorenie akčného plánu ďalšieho rozvoja doktorandského štúdia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Podpora programov na prácu s talentami na vysokých školách </w:t>
      </w:r>
    </w:p>
    <w:p w:rsidR="00071B02" w:rsidRDefault="008F460B">
      <w:pPr>
        <w:numPr>
          <w:ilvl w:val="0"/>
          <w:numId w:val="14"/>
        </w:numPr>
        <w:spacing w:after="67" w:line="267" w:lineRule="auto"/>
        <w:ind w:hanging="360"/>
      </w:pPr>
      <w:r>
        <w:rPr>
          <w:b/>
        </w:rPr>
        <w:t>Vysoké školstvo dostupné pre všetkých</w:t>
      </w:r>
      <w:r>
        <w:rPr>
          <w:b/>
        </w:rPr>
        <w:t xml:space="preserve"> občanov, ktorí oň prejavia záujem a preukážu predpoklady na jeho úspešné absolvovanie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Vypracovanie analýzy súčasného nastavenia systému sociálnej podpory študentov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Dofinancovanie Fondu na podporu vzdelávania </w:t>
      </w:r>
    </w:p>
    <w:p w:rsidR="00071B02" w:rsidRDefault="008F460B">
      <w:pPr>
        <w:numPr>
          <w:ilvl w:val="1"/>
          <w:numId w:val="14"/>
        </w:numPr>
        <w:ind w:hanging="360"/>
      </w:pPr>
      <w:r>
        <w:t>Schválenie akčného plánu na vytvorenie unive</w:t>
      </w:r>
      <w:r>
        <w:t xml:space="preserve">rzálneho a inkluzívneho akademického prostredia a jeho implementácia </w:t>
      </w:r>
    </w:p>
    <w:p w:rsidR="00071B02" w:rsidRDefault="008F460B">
      <w:pPr>
        <w:numPr>
          <w:ilvl w:val="0"/>
          <w:numId w:val="14"/>
        </w:numPr>
        <w:spacing w:after="67" w:line="267" w:lineRule="auto"/>
        <w:ind w:hanging="360"/>
      </w:pPr>
      <w:r>
        <w:rPr>
          <w:b/>
        </w:rPr>
        <w:lastRenderedPageBreak/>
        <w:t xml:space="preserve">Vysoké školstvo tvoriace jadro výskumného potenciálu Slovenska v oblasti základného výskumu a v oblasti aplikovaného výskumu a súčasť európskeho výskumného priestoru ERA </w:t>
      </w:r>
    </w:p>
    <w:p w:rsidR="00071B02" w:rsidRDefault="008F460B">
      <w:pPr>
        <w:numPr>
          <w:ilvl w:val="1"/>
          <w:numId w:val="14"/>
        </w:numPr>
        <w:spacing w:after="28"/>
        <w:ind w:hanging="360"/>
      </w:pPr>
      <w:r>
        <w:t>Zabezpečenie ko</w:t>
      </w:r>
      <w:r>
        <w:t xml:space="preserve">mplexného hodnotenia úrovne tvorivej činnosti verejných vysokých škôl v medzinárodnom kontexte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Systematická podpora rozvoja tých oblastí tvorivej činnosti, ktoré sú potrebné pre Slovensko, ale v súčasnosti nedosahujú potrebnú medzinárodnú úroveň </w:t>
      </w:r>
    </w:p>
    <w:p w:rsidR="00071B02" w:rsidRDefault="008F460B">
      <w:pPr>
        <w:numPr>
          <w:ilvl w:val="1"/>
          <w:numId w:val="14"/>
        </w:numPr>
        <w:spacing w:after="28"/>
        <w:ind w:hanging="360"/>
      </w:pPr>
      <w:r>
        <w:t>Posilnen</w:t>
      </w:r>
      <w:r>
        <w:t xml:space="preserve">ie financovania tvorivej činnosti v sektore vysokých škôl z prostriedkov štátneho rozpočtu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Stabilné a predvídateľné financovanie excelentného výskumu </w:t>
      </w:r>
    </w:p>
    <w:p w:rsidR="00071B02" w:rsidRDefault="008F460B">
      <w:pPr>
        <w:numPr>
          <w:ilvl w:val="1"/>
          <w:numId w:val="14"/>
        </w:numPr>
        <w:spacing w:after="28"/>
        <w:ind w:hanging="360"/>
      </w:pPr>
      <w:r>
        <w:t xml:space="preserve">Napĺňanie cieľov stratégie RIS3 s dôrazom na dopracovanie a implementáciu jej Akčného plánu </w:t>
      </w:r>
    </w:p>
    <w:p w:rsidR="00071B02" w:rsidRDefault="008F460B">
      <w:pPr>
        <w:numPr>
          <w:ilvl w:val="1"/>
          <w:numId w:val="14"/>
        </w:numPr>
        <w:spacing w:after="28"/>
        <w:ind w:hanging="360"/>
      </w:pPr>
      <w:r>
        <w:t>Zohľadňovan</w:t>
      </w:r>
      <w:r>
        <w:t xml:space="preserve">ie výsledkov hodnotenia využívania výskumnej infraštruktúry financovanej zo zdrojov EŠIF </w:t>
      </w:r>
    </w:p>
    <w:p w:rsidR="00071B02" w:rsidRDefault="008F460B">
      <w:pPr>
        <w:numPr>
          <w:ilvl w:val="1"/>
          <w:numId w:val="14"/>
        </w:numPr>
        <w:spacing w:after="28" w:line="305" w:lineRule="auto"/>
        <w:ind w:hanging="360"/>
      </w:pPr>
      <w:r>
        <w:t>Formulácia cieľov skvalitnenia vzdelávania v oblasti duševného vlastníctva v školskom a podnikateľskom sektore, vrátane nástrojov na posilnenia súdnej a mimosúdnej vy</w:t>
      </w:r>
      <w:r>
        <w:t xml:space="preserve">možiteľnosti práv duševného vlastníctva </w:t>
      </w:r>
    </w:p>
    <w:p w:rsidR="00071B02" w:rsidRDefault="008F460B">
      <w:pPr>
        <w:numPr>
          <w:ilvl w:val="1"/>
          <w:numId w:val="14"/>
        </w:numPr>
        <w:spacing w:after="30"/>
        <w:ind w:hanging="360"/>
      </w:pPr>
      <w:r>
        <w:t xml:space="preserve">Vytvorenie komplexnej celonárodnej stratégie v oblasti výskumu, vývoja a inovácií, vrátane celonárodného systému hodnotenia výskumných inštitúcií </w:t>
      </w:r>
    </w:p>
    <w:p w:rsidR="00071B02" w:rsidRDefault="008F460B">
      <w:pPr>
        <w:numPr>
          <w:ilvl w:val="1"/>
          <w:numId w:val="14"/>
        </w:numPr>
        <w:spacing w:after="28"/>
        <w:ind w:hanging="360"/>
      </w:pPr>
      <w:r>
        <w:t>Rozvoj systému viaczdrojového financovania výskum a inovácií so zret</w:t>
      </w:r>
      <w:r>
        <w:t xml:space="preserve">eľom na záujem o zvýšenie súkromných investícií do výskum a inovácií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Vytvorenie podmienok pre realizáciu výskumu v oblasti vzdelávacích politík ako východiska pre tvorbu lepších politík </w:t>
      </w:r>
    </w:p>
    <w:p w:rsidR="00071B02" w:rsidRDefault="008F460B">
      <w:pPr>
        <w:numPr>
          <w:ilvl w:val="0"/>
          <w:numId w:val="14"/>
        </w:numPr>
        <w:spacing w:after="137" w:line="267" w:lineRule="auto"/>
        <w:ind w:hanging="360"/>
      </w:pPr>
      <w:r>
        <w:rPr>
          <w:b/>
        </w:rPr>
        <w:t xml:space="preserve">Vysoké školstvo reagujúce na aktuálne a očakávané potreby spoločenskej a hospodárskej praxe a predstavujúce motor rozvoja spoločnosti a regiónov Slovenska </w:t>
      </w:r>
      <w:r>
        <w:t xml:space="preserve">Implementácia nástrojov na podporu realizácie tretej misie vysokých škôl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Zavedenie systému mapovania uplatnenia absolventov z úrovne ministerstva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Podporenie tvorby a implementácie profesijne orientovaných bakalárskych programov </w:t>
      </w:r>
    </w:p>
    <w:p w:rsidR="00071B02" w:rsidRDefault="008F460B">
      <w:pPr>
        <w:numPr>
          <w:ilvl w:val="1"/>
          <w:numId w:val="14"/>
        </w:numPr>
        <w:ind w:hanging="360"/>
      </w:pPr>
      <w:r>
        <w:t xml:space="preserve">Legislatívna úprava duálneho vzdelávania na úrovni vysokoškolského vzdelávania </w:t>
      </w:r>
    </w:p>
    <w:p w:rsidR="00071B02" w:rsidRDefault="008F460B">
      <w:pPr>
        <w:numPr>
          <w:ilvl w:val="1"/>
          <w:numId w:val="14"/>
        </w:numPr>
        <w:spacing w:after="241"/>
        <w:ind w:hanging="360"/>
      </w:pPr>
      <w:r>
        <w:t>Vytvorenie právneh</w:t>
      </w:r>
      <w:r>
        <w:t xml:space="preserve">o rámca na uznávanie výsledkov neformálneho vzdelávania v rámci vysokoškolského štúdia </w:t>
      </w:r>
    </w:p>
    <w:p w:rsidR="00071B02" w:rsidRDefault="008F460B">
      <w:pPr>
        <w:pStyle w:val="Nadpis2"/>
        <w:ind w:left="-5"/>
      </w:pPr>
      <w:bookmarkStart w:id="30" w:name="_Toc89348"/>
      <w:r>
        <w:t xml:space="preserve">4. 3. Výsledky a výstupy realizácie jednotlivých opatrení, indikátory </w:t>
      </w:r>
      <w:bookmarkEnd w:id="30"/>
    </w:p>
    <w:p w:rsidR="00071B02" w:rsidRDefault="008F460B">
      <w:r>
        <w:t>Globálnymi indikátormi napĺňania NPRVV sú indikátory Stratégie Európa 2020 (popísané v časti 2.1.</w:t>
      </w:r>
      <w:r>
        <w:t xml:space="preserve">1): </w:t>
      </w:r>
    </w:p>
    <w:p w:rsidR="00071B02" w:rsidRDefault="008F460B">
      <w:pPr>
        <w:numPr>
          <w:ilvl w:val="0"/>
          <w:numId w:val="15"/>
        </w:numPr>
        <w:ind w:hanging="360"/>
      </w:pPr>
      <w:r>
        <w:t xml:space="preserve">podiel mladých ľudí s predčasne ukončeným vzdelávaním </w:t>
      </w:r>
    </w:p>
    <w:p w:rsidR="00071B02" w:rsidRDefault="008F460B">
      <w:pPr>
        <w:numPr>
          <w:ilvl w:val="0"/>
          <w:numId w:val="15"/>
        </w:numPr>
        <w:ind w:hanging="360"/>
      </w:pPr>
      <w:r>
        <w:t xml:space="preserve">podiel vysokoškolsky vzdelaného obyvateľstva vo veku 30-34 rokov </w:t>
      </w:r>
    </w:p>
    <w:p w:rsidR="00071B02" w:rsidRDefault="008F460B">
      <w:pPr>
        <w:numPr>
          <w:ilvl w:val="0"/>
          <w:numId w:val="15"/>
        </w:numPr>
        <w:ind w:hanging="360"/>
      </w:pPr>
      <w:r>
        <w:t xml:space="preserve">podiel 15-ročných žiakov dosahujúcich nízke zručnosti </w:t>
      </w:r>
    </w:p>
    <w:p w:rsidR="00071B02" w:rsidRDefault="008F460B">
      <w:pPr>
        <w:numPr>
          <w:ilvl w:val="0"/>
          <w:numId w:val="15"/>
        </w:numPr>
        <w:ind w:hanging="360"/>
      </w:pPr>
      <w:r>
        <w:lastRenderedPageBreak/>
        <w:t xml:space="preserve">miera zamestnanosti čerstvých absolventov </w:t>
      </w:r>
    </w:p>
    <w:p w:rsidR="00071B02" w:rsidRDefault="008F460B">
      <w:pPr>
        <w:numPr>
          <w:ilvl w:val="0"/>
          <w:numId w:val="15"/>
        </w:numPr>
        <w:spacing w:after="122"/>
        <w:ind w:hanging="360"/>
      </w:pPr>
      <w:r>
        <w:t>participácia detí na predprimárn</w:t>
      </w:r>
      <w:r>
        <w:t>om vzdelávaní 6.</w:t>
      </w:r>
      <w:r>
        <w:rPr>
          <w:rFonts w:ascii="Arial" w:eastAsia="Arial" w:hAnsi="Arial" w:cs="Arial"/>
        </w:rPr>
        <w:t xml:space="preserve"> </w:t>
      </w:r>
      <w:r>
        <w:t xml:space="preserve">participácia dospelých na celoživotnom vzdelávaní. </w:t>
      </w:r>
    </w:p>
    <w:p w:rsidR="00071B02" w:rsidRDefault="008F460B">
      <w:r>
        <w:t xml:space="preserve">Uvedené indikátory sú dlhodobo monitorované a aj po roku 2020 môžu slúžiť na meranie pokroku v uvedených oblastiach. Bázickou úrovňou sú hodnoty roku 2017, ktorý predchádza implementácii </w:t>
      </w:r>
      <w:r>
        <w:t xml:space="preserve">prvého akčného plánu. </w:t>
      </w:r>
    </w:p>
    <w:p w:rsidR="00071B02" w:rsidRDefault="008F460B">
      <w:pPr>
        <w:spacing w:after="0" w:line="259" w:lineRule="auto"/>
        <w:ind w:left="-23" w:right="-20" w:firstLine="0"/>
        <w:jc w:val="left"/>
      </w:pPr>
      <w:r>
        <w:rPr>
          <w:noProof/>
        </w:rPr>
        <w:drawing>
          <wp:inline distT="0" distB="0" distL="0" distR="0">
            <wp:extent cx="5788153" cy="4431793"/>
            <wp:effectExtent l="0" t="0" r="0" b="0"/>
            <wp:docPr id="87525" name="Picture 87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5" name="Picture 87525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88153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B02" w:rsidRDefault="00071B02">
      <w:pPr>
        <w:sectPr w:rsidR="00071B02"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1906" w:h="16838"/>
          <w:pgMar w:top="1482" w:right="1417" w:bottom="1453" w:left="1416" w:header="708" w:footer="712" w:gutter="0"/>
          <w:cols w:space="708"/>
          <w:titlePg/>
        </w:sectPr>
      </w:pPr>
    </w:p>
    <w:p w:rsidR="00071B02" w:rsidRDefault="008F460B">
      <w:pPr>
        <w:spacing w:after="46" w:line="268" w:lineRule="auto"/>
        <w:ind w:left="-5"/>
      </w:pPr>
      <w:r>
        <w:rPr>
          <w:i/>
        </w:rPr>
        <w:lastRenderedPageBreak/>
        <w:t xml:space="preserve">*ide o osoby, ktoré dosiahli najviac nižšie sekundárne vzdelanie a neparticipujú na ďalšom vzdelávaní, </w:t>
      </w:r>
      <w:r>
        <w:rPr>
          <w:i/>
        </w:rPr>
        <w:t xml:space="preserve">** so vzdelaním ukončeným 1 až 3 roky pred referenčným rokom, *** počas posledných štyroch týždňov </w:t>
      </w:r>
    </w:p>
    <w:p w:rsidR="00071B02" w:rsidRDefault="008F460B">
      <w:pPr>
        <w:spacing w:after="127" w:line="268" w:lineRule="auto"/>
        <w:ind w:left="-5" w:right="7516"/>
      </w:pPr>
      <w:r>
        <w:rPr>
          <w:i/>
        </w:rPr>
        <w:t xml:space="preserve">Zdroj: Eurostat </w:t>
      </w:r>
      <w:r>
        <w:t xml:space="preserve"> </w:t>
      </w:r>
    </w:p>
    <w:p w:rsidR="00071B02" w:rsidRDefault="008F460B">
      <w:pPr>
        <w:spacing w:after="81"/>
      </w:pPr>
      <w:r>
        <w:t>Významným strategickým indikátorom NPRVV je dosiahnutie priemeru krajín OECD, kde platy učiteľov dosahujú 85  %  platov vysokoškolsky vzde</w:t>
      </w:r>
      <w:r>
        <w:t xml:space="preserve">laných pracovníkov v ekonomike.  </w:t>
      </w:r>
    </w:p>
    <w:p w:rsidR="00071B02" w:rsidRDefault="008F460B">
      <w:pPr>
        <w:spacing w:after="148"/>
      </w:pPr>
      <w:r>
        <w:t>Indikátory, ktoré budú slúžiť ako meradlo napĺňania jednotlivých opatrení, budú stanovené po schválení implementačného plánu.</w:t>
      </w:r>
      <w:r>
        <w:rPr>
          <w:i/>
        </w:rPr>
        <w:t xml:space="preserve"> </w:t>
      </w:r>
    </w:p>
    <w:p w:rsidR="00071B02" w:rsidRDefault="008F460B">
      <w:pPr>
        <w:pStyle w:val="Nadpis1"/>
        <w:ind w:left="-5"/>
      </w:pPr>
      <w:bookmarkStart w:id="31" w:name="_Toc89349"/>
      <w:r>
        <w:t>5. Implementácia stratégie</w:t>
      </w:r>
      <w:r>
        <w:rPr>
          <w:sz w:val="24"/>
        </w:rPr>
        <w:t xml:space="preserve"> </w:t>
      </w:r>
      <w:bookmarkEnd w:id="31"/>
    </w:p>
    <w:p w:rsidR="00071B02" w:rsidRDefault="008F460B">
      <w:pPr>
        <w:pStyle w:val="Nadpis2"/>
        <w:ind w:left="-5"/>
      </w:pPr>
      <w:bookmarkStart w:id="32" w:name="_Toc89350"/>
      <w:r>
        <w:t xml:space="preserve">5. 1. Implementačná štruktúra a systém riadenia implementácie stratégie </w:t>
      </w:r>
      <w:bookmarkEnd w:id="32"/>
    </w:p>
    <w:p w:rsidR="00071B02" w:rsidRDefault="008F460B">
      <w:pPr>
        <w:spacing w:after="243"/>
      </w:pPr>
      <w:r>
        <w:t xml:space="preserve">Po schválení Implementačného plánu budú stanovené indikátory, ktoré budú slúžiť ako meradlo napĺňania jednotlivých opatrení. Implementačný plán obsahuje referenčné rámce, scenáre a </w:t>
      </w:r>
      <w:r>
        <w:t>predpoklady, ktoré môžu byť v procese implementácie v prípade potreby upravované v závislosti od celkového ekonomického a politického vývoja.</w:t>
      </w:r>
      <w:r>
        <w:rPr>
          <w:i/>
        </w:rPr>
        <w:t xml:space="preserve"> </w:t>
      </w:r>
    </w:p>
    <w:p w:rsidR="00071B02" w:rsidRDefault="008F460B">
      <w:pPr>
        <w:pStyle w:val="Nadpis2"/>
        <w:ind w:left="-5"/>
      </w:pPr>
      <w:bookmarkStart w:id="33" w:name="_Toc89351"/>
      <w:r>
        <w:t xml:space="preserve">5. 2. Plán realizácie aktivít </w:t>
      </w:r>
      <w:bookmarkEnd w:id="33"/>
    </w:p>
    <w:p w:rsidR="00071B02" w:rsidRDefault="008F460B">
      <w:pPr>
        <w:spacing w:after="244"/>
      </w:pPr>
      <w:r>
        <w:t>NPRVV má tri strategické ciele, 12 konkrétnych cieľov (šesť pre regionálne školstv</w:t>
      </w:r>
      <w:r>
        <w:t xml:space="preserve">o a šesť pre vysoké školstvo) a 106 opatrení. Opatrenia sú rozpracované do Implementačného plánu, ktorý pozostáva z piatich dvojročných na seba nadväzujúcich akčných plánov.  </w:t>
      </w:r>
    </w:p>
    <w:p w:rsidR="00071B02" w:rsidRDefault="008F460B">
      <w:pPr>
        <w:pStyle w:val="Nadpis2"/>
        <w:ind w:left="-5"/>
      </w:pPr>
      <w:bookmarkStart w:id="34" w:name="_Toc89352"/>
      <w:r>
        <w:t xml:space="preserve">5. 3. Časový harmonogram </w:t>
      </w:r>
      <w:bookmarkEnd w:id="34"/>
    </w:p>
    <w:p w:rsidR="00071B02" w:rsidRDefault="008F460B">
      <w:pPr>
        <w:spacing w:after="0" w:line="305" w:lineRule="auto"/>
        <w:ind w:left="0" w:firstLine="0"/>
        <w:jc w:val="left"/>
      </w:pPr>
      <w:r>
        <w:t>Implementačný plán NPRVV, ktorý sa vzťahuje na desaťro</w:t>
      </w:r>
      <w:r>
        <w:t>čné obdobie 2018-2027, sa delí na päť dvojročných akčných plánov (AP). Časový harmonogram jednotlivých akčných plánov je nasledovný:</w:t>
      </w:r>
      <w:r>
        <w:rPr>
          <w:b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004"/>
        <w:gridCol w:w="5286"/>
      </w:tblGrid>
      <w:tr w:rsidR="00071B02">
        <w:trPr>
          <w:trHeight w:val="326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Akčný plán 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Časové obdobie </w:t>
            </w:r>
          </w:p>
        </w:tc>
      </w:tr>
      <w:tr w:rsidR="00071B02">
        <w:trPr>
          <w:trHeight w:val="329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t xml:space="preserve">2018 – 2019 </w:t>
            </w:r>
          </w:p>
        </w:tc>
      </w:tr>
      <w:tr w:rsidR="00071B02">
        <w:trPr>
          <w:trHeight w:val="326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1" w:firstLine="0"/>
              <w:jc w:val="center"/>
            </w:pPr>
            <w:r>
              <w:t xml:space="preserve">2 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t xml:space="preserve">2020 – 2021 </w:t>
            </w:r>
          </w:p>
        </w:tc>
      </w:tr>
      <w:tr w:rsidR="00071B02">
        <w:trPr>
          <w:trHeight w:val="329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t xml:space="preserve">2022 -2023 </w:t>
            </w:r>
          </w:p>
        </w:tc>
      </w:tr>
      <w:tr w:rsidR="00071B02">
        <w:trPr>
          <w:trHeight w:val="326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1" w:firstLine="0"/>
              <w:jc w:val="center"/>
            </w:pPr>
            <w:r>
              <w:t xml:space="preserve">4 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firstLine="0"/>
              <w:jc w:val="center"/>
            </w:pPr>
            <w:r>
              <w:t xml:space="preserve">2024 – 2025 </w:t>
            </w:r>
          </w:p>
        </w:tc>
      </w:tr>
      <w:tr w:rsidR="00071B02">
        <w:trPr>
          <w:trHeight w:val="329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1" w:firstLine="0"/>
              <w:jc w:val="center"/>
            </w:pPr>
            <w:r>
              <w:t xml:space="preserve">5 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B02" w:rsidRDefault="008F460B">
            <w:pPr>
              <w:spacing w:after="0" w:line="259" w:lineRule="auto"/>
              <w:ind w:left="0" w:right="3" w:firstLine="0"/>
              <w:jc w:val="center"/>
            </w:pPr>
            <w:r>
              <w:t xml:space="preserve">2026 - 2027 </w:t>
            </w:r>
          </w:p>
        </w:tc>
      </w:tr>
    </w:tbl>
    <w:p w:rsidR="00071B02" w:rsidRDefault="008F460B">
      <w:pPr>
        <w:spacing w:after="161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122"/>
      </w:pPr>
      <w:r>
        <w:t xml:space="preserve">Prvý akčný plán na obdobie 2018-2019 a druhý akčný plán 2 na obdobie 2020-2021 obsahujú aj opatrenia zahrnuté v PVV.  </w:t>
      </w:r>
    </w:p>
    <w:p w:rsidR="00071B02" w:rsidRDefault="008F460B">
      <w:pPr>
        <w:spacing w:after="85"/>
      </w:pPr>
      <w:r>
        <w:t xml:space="preserve">Viaceré reformné kroky boli uskutočnené už v roku 2017 v rámci „nultého“ akčného plánu, ktorý pomohol nastaviť podmienky smerom k lepšej </w:t>
      </w:r>
      <w:r>
        <w:t xml:space="preserve">inklúzii. Ide napríklad o tieto opatrenia: </w:t>
      </w:r>
    </w:p>
    <w:p w:rsidR="00071B02" w:rsidRDefault="008F460B">
      <w:pPr>
        <w:tabs>
          <w:tab w:val="center" w:pos="473"/>
          <w:tab w:val="center" w:pos="1693"/>
        </w:tabs>
        <w:spacing w:after="7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(i)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u w:val="single" w:color="000000"/>
        </w:rPr>
        <w:t>v roku 2017:</w:t>
      </w:r>
      <w:r>
        <w:t xml:space="preserve"> </w:t>
      </w:r>
    </w:p>
    <w:p w:rsidR="00071B02" w:rsidRDefault="008F460B">
      <w:pPr>
        <w:numPr>
          <w:ilvl w:val="0"/>
          <w:numId w:val="16"/>
        </w:numPr>
        <w:ind w:hanging="360"/>
      </w:pPr>
      <w:r>
        <w:lastRenderedPageBreak/>
        <w:t xml:space="preserve">Reforma financovania ŠKD, ktorou sa upravil kľúč pre určovanie príspevku z potenciálneho počtu detí na reálny počet detí v ŠKD, čím sa prerozdelilo financovanie smerom k tým ŠKD, ktoré reálne </w:t>
      </w:r>
      <w:r>
        <w:t xml:space="preserve">pracujú so žiakmi </w:t>
      </w:r>
    </w:p>
    <w:p w:rsidR="00071B02" w:rsidRDefault="008F460B">
      <w:pPr>
        <w:numPr>
          <w:ilvl w:val="0"/>
          <w:numId w:val="16"/>
        </w:numPr>
        <w:ind w:hanging="360"/>
      </w:pPr>
      <w:r>
        <w:t xml:space="preserve">Postupné znižovanie podielu žiakov prijatých do 8-ročných gymnázií na 5 % populačného ročníka </w:t>
      </w:r>
    </w:p>
    <w:p w:rsidR="00071B02" w:rsidRDefault="008F460B">
      <w:pPr>
        <w:numPr>
          <w:ilvl w:val="0"/>
          <w:numId w:val="16"/>
        </w:numPr>
        <w:ind w:hanging="360"/>
      </w:pPr>
      <w:r>
        <w:t xml:space="preserve">Navýšenie koeficientu prerozdeľovania financovania medzi školské zariadenia pre ŠKD z 1,6 na 6 </w:t>
      </w:r>
    </w:p>
    <w:p w:rsidR="00071B02" w:rsidRDefault="008F460B">
      <w:pPr>
        <w:numPr>
          <w:ilvl w:val="0"/>
          <w:numId w:val="16"/>
        </w:numPr>
        <w:ind w:hanging="360"/>
      </w:pPr>
      <w:r>
        <w:t>Navýšenie normatívu pre školy s vyučovacím jaz</w:t>
      </w:r>
      <w:r>
        <w:t xml:space="preserve">ykom národnostných menšín o cca 5 percentuálnych bodov </w:t>
      </w:r>
    </w:p>
    <w:p w:rsidR="00071B02" w:rsidRDefault="008F460B">
      <w:pPr>
        <w:numPr>
          <w:ilvl w:val="0"/>
          <w:numId w:val="16"/>
        </w:numPr>
        <w:spacing w:after="25"/>
        <w:ind w:hanging="360"/>
      </w:pPr>
      <w:r>
        <w:t xml:space="preserve">Navýšenie objemu financovania asistentov učiteľov (4 mil. EUR) </w:t>
      </w:r>
    </w:p>
    <w:p w:rsidR="00071B02" w:rsidRDefault="008F460B">
      <w:pPr>
        <w:numPr>
          <w:ilvl w:val="0"/>
          <w:numId w:val="16"/>
        </w:numPr>
        <w:ind w:hanging="360"/>
      </w:pPr>
      <w:r>
        <w:t>Navýšenie objemu financovania učebníc (o 8 mil. EUR) (ii)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u w:val="single" w:color="000000"/>
        </w:rPr>
        <w:t>v roku 2018:</w:t>
      </w:r>
      <w:r>
        <w:t xml:space="preserve"> </w:t>
      </w:r>
    </w:p>
    <w:p w:rsidR="00071B02" w:rsidRDefault="008F460B">
      <w:pPr>
        <w:numPr>
          <w:ilvl w:val="0"/>
          <w:numId w:val="16"/>
        </w:numPr>
        <w:ind w:hanging="360"/>
      </w:pPr>
      <w:r>
        <w:t>Opatrenia zamerané na diverzifikáciu a podporu systému duálneho</w:t>
      </w:r>
      <w:r>
        <w:t xml:space="preserve"> vzdelávania, stimulácie vstupu malých a stredných podniky a živnostníkov </w:t>
      </w:r>
    </w:p>
    <w:p w:rsidR="00071B02" w:rsidRDefault="008F460B">
      <w:pPr>
        <w:numPr>
          <w:ilvl w:val="0"/>
          <w:numId w:val="16"/>
        </w:numPr>
        <w:ind w:hanging="360"/>
      </w:pPr>
      <w:r>
        <w:t xml:space="preserve">Zmena metodiky určovania plánov výkonov pre stredné školy s cieľom priblížiť štruktúru vzdelávania štruktúre trhu práce </w:t>
      </w:r>
    </w:p>
    <w:p w:rsidR="00071B02" w:rsidRDefault="008F460B">
      <w:pPr>
        <w:numPr>
          <w:ilvl w:val="0"/>
          <w:numId w:val="16"/>
        </w:numPr>
        <w:spacing w:after="244"/>
        <w:ind w:hanging="360"/>
      </w:pPr>
      <w:r>
        <w:t>Zmena metodiky plánovania výkonov pre 8-</w:t>
      </w:r>
      <w:r>
        <w:t xml:space="preserve">ročné gymnáziá v rámci celej SR zameranej na optimálnejšie využitie siete škôl pri súčasnom zachovaní podielu prijímaných žiakov na úrovni 5% populačného ročníka. </w:t>
      </w:r>
    </w:p>
    <w:p w:rsidR="00071B02" w:rsidRDefault="008F460B">
      <w:pPr>
        <w:pStyle w:val="Nadpis2"/>
        <w:ind w:left="-5"/>
      </w:pPr>
      <w:bookmarkStart w:id="35" w:name="_Toc89353"/>
      <w:r>
        <w:t xml:space="preserve">5. 4. Rozpočet a zdroje financovania </w:t>
      </w:r>
      <w:bookmarkEnd w:id="35"/>
    </w:p>
    <w:p w:rsidR="00071B02" w:rsidRDefault="008F460B">
      <w:pPr>
        <w:spacing w:after="170" w:line="268" w:lineRule="auto"/>
        <w:ind w:left="-5"/>
      </w:pPr>
      <w:r>
        <w:t>Problematika financovania systému výchovy a vzdelávani</w:t>
      </w:r>
      <w:r>
        <w:t xml:space="preserve">a, ako aj s nimi úzko previazaného systému vedy a výskumu je jedným z najdôležitejších aspektov NPRVV. Systém je z hľadiska medzinárodných štandardov porovnateľných krajín dlhodobo podfinancovaný. Už Správa o stave školstva, ktorú NR SR prerokovala v roku </w:t>
      </w:r>
      <w:r>
        <w:t xml:space="preserve">2013 sa konštatuje nasledovné: </w:t>
      </w:r>
      <w:r>
        <w:rPr>
          <w:i/>
        </w:rPr>
        <w:t xml:space="preserve">“Vychádzajúc z medzinárodných porovnaní sa v správe identifikujú dve príčiny zaostávania Slovenska v objeme výdavkov na školstvo v porovnaní s HDP. Prvou je nízka priorita financovania školstva v porovnaní s niektorými inými </w:t>
      </w:r>
      <w:r>
        <w:rPr>
          <w:i/>
        </w:rPr>
        <w:t>oblasťami financovanými z verejných zdrojov. Druhou príčinou je, že SR má v porovnaní s priemerom ostatných krajín zhruba iba 75 % rozsah verejného sektora vo vzťahu k HDP.”</w:t>
      </w:r>
      <w:r>
        <w:t xml:space="preserve"> </w:t>
      </w:r>
    </w:p>
    <w:p w:rsidR="00071B02" w:rsidRDefault="008F460B">
      <w:pPr>
        <w:spacing w:after="126"/>
      </w:pPr>
      <w:r>
        <w:t>Správa o stave školstva, rovnako aj dokument „Učiace sa Slovensko“ a samotný NPRV</w:t>
      </w:r>
      <w:r>
        <w:t>V pokladajú otázku financovania za kľúčovú pre ďalší rozvoj školstva. Správa o stave školstva zdôrazňuje nutnosť zvýšiť efektívnosť využívania finančných prostriedkov v školstve, zároveň však konštatuje, že bez zvýšenia objemu finančných prostriedkov do šk</w:t>
      </w:r>
      <w:r>
        <w:t>olstva je jeho ďalší rozvoj prakticky nemožný.</w:t>
      </w:r>
      <w:r>
        <w:rPr>
          <w:vertAlign w:val="superscript"/>
        </w:rPr>
        <w:footnoteReference w:id="14"/>
      </w:r>
      <w:r>
        <w:t xml:space="preserve">  </w:t>
      </w:r>
    </w:p>
    <w:p w:rsidR="00071B02" w:rsidRDefault="008F460B">
      <w:pPr>
        <w:spacing w:after="133"/>
      </w:pPr>
      <w:r>
        <w:t xml:space="preserve">PVV obsahuje záväzok v oblasti financovania zvyšovaním verejných zdrojov do výchovy a vzdelávania tak, aby celkový objem zvýšenia za volebné obdobie dosiahol 2 mld. € a aby </w:t>
      </w:r>
      <w:r>
        <w:lastRenderedPageBreak/>
        <w:t>úroveň verejných zdrojov vkladaná</w:t>
      </w:r>
      <w:r>
        <w:t xml:space="preserve"> ročne do školstva na konci volebného obdobia v roku 2020 bola porovnateľná s priemerom krajín EÚ. </w:t>
      </w:r>
    </w:p>
    <w:p w:rsidR="00071B02" w:rsidRDefault="008F460B">
      <w:pPr>
        <w:spacing w:after="155"/>
      </w:pPr>
      <w:r>
        <w:t xml:space="preserve">V oblasti financovania podľa PVV vláda „pripraví nový zákon o financovaní škôl a školských zariadení, ktorý bude riešiť komplexne problematiku financovania </w:t>
      </w:r>
      <w:r>
        <w:t>škôl a školských zariadení v oblasti prenesených kompetencií a originálnych kompetencií s cieľom zvýšiť jeho efektívnosť, rozšíriť transparentnosť na všetky poskytované finančné prostriedky, podporiť zvyšovanie kvality vzdelávania a umožniť grantovú podpor</w:t>
      </w:r>
      <w:r>
        <w:t>u inovatívnych projektov škôl a pedagogických zamestnancov.“ Vláda „zachová normatívny spôsob financovania škôl a na základe analýzy posúdi možnosť jeho doplnenia o nové prvky, ktoré zvýšia efektívnosť financovania škôl, ako sú napríklad zohľadnenie nevyhn</w:t>
      </w:r>
      <w:r>
        <w:t>utného počtu tried v škole, ich naplnenosť, dĺžka praxe pedagogických zamestnancov a odborných zamestnancov a pri určovaní normatívu prihliadanie na reálne náklady na výchovnovzdelávaciu činnosť.“ S ohľadom na uvedené NPRVV predpokladá zachovanie normatívn</w:t>
      </w:r>
      <w:r>
        <w:t xml:space="preserve">eho systému financovania a zmenu jeho parametrov smerom ku kombinácii normatívu na žiaka a na triedu. </w:t>
      </w:r>
    </w:p>
    <w:p w:rsidR="00071B02" w:rsidRDefault="008F460B">
      <w:pPr>
        <w:spacing w:after="129"/>
      </w:pPr>
      <w:r>
        <w:t>V oblasti zvýšenia platov učiteľov NPRVV rešpektuje záväzok z PVV, avšak s ohľadom na prebiehajúci stav kolektívneho vyjednávania na úrovni tripartity, I</w:t>
      </w:r>
      <w:r>
        <w:t>mplementačný plán NPRVV v oblasti finančných dopadov ráta s variantom zvyšovania o o 10 % k 1.1.2019 a 1.1.2020. V ďalšom Implementačný plán ráta so scenárom zvyšovania platov proporcionálne predchádzajúcemu vývoju a to tak, aby do roku 2027 bol dosiahnutý</w:t>
      </w:r>
      <w:r>
        <w:t xml:space="preserve"> priemer najvyspelejších ekonomík sveta združených v OECD, ktorým je 85 % platov vysokoškolsky vzdelaných pracovníkov spolu za všetky sektory ekonomiky. </w:t>
      </w:r>
    </w:p>
    <w:p w:rsidR="00071B02" w:rsidRDefault="008F460B">
      <w:pPr>
        <w:spacing w:after="125"/>
      </w:pPr>
      <w:r>
        <w:t>Z hľadiska možnosti odhadu finančných dopadov NPRVV obsahuje tri skupiny opatrení: (a) opatrenia, ktor</w:t>
      </w:r>
      <w:r>
        <w:t>ých finančné dopady môžu byť odhadnuté; (b) opatrenia ktorých finančné dopady nemôžu byť odhadnuté najmä z dôvodu neistoty ohľadom budúceho vývoja ekonomiky a veľkej komplexnosti systémov; (c) opatrenia, ktoré nemajú priame finančné dopady. Finančné dopady</w:t>
      </w:r>
      <w:r>
        <w:t xml:space="preserve"> opatrení z prvej skupiny boli odhadnuté v spolupráci MŠVVŠ SR a UHP MF SR.  </w:t>
      </w:r>
    </w:p>
    <w:p w:rsidR="00071B02" w:rsidRDefault="008F460B">
      <w:r>
        <w:t xml:space="preserve">Celkový kumulatívny dopad opatrení obsiahnutých v NPRVV počas obdobia 2018-2027 je cca 15,6 mld. EUR, z toho cca 11,8 mld. EUR predstavuje zvyšovanie platov učiteľov. </w:t>
      </w:r>
    </w:p>
    <w:p w:rsidR="00071B02" w:rsidRDefault="008F460B">
      <w:pPr>
        <w:spacing w:after="243"/>
      </w:pPr>
      <w:r>
        <w:t>Uvedený do</w:t>
      </w:r>
      <w:r>
        <w:t>pad je len odhadom, ktorý nie je vyčerpávajúci (z dôvodu existencie troch druhov opatrení popísaných vyššie) a ktorý môže byť v procese implementácie revidovaný v prípade zmeny ekonomických podmienok resp. zmeny scenárov alebo cieľov. Kumulatívny dopad opa</w:t>
      </w:r>
      <w:r>
        <w:t>trení obsiahnutých v NPRVV počas obdobia 2018-2027 nie je možné stotožniť s dopadom PVV ani s celkovým kumulatívnym objemom kapitol štátneho rozpočtu rezortu školstva počas trvania NPRVV, a to (a) z dôvodu rôznych programovacích období (PVV 2016-2020, NPRV</w:t>
      </w:r>
      <w:r>
        <w:t>V 2018-2027), (b) z dôvodu, že NPRVV predstavuje rozvojový program založený aj na vybraných už existujúcich aktivitách, aj na nových aktivitách, (c) z dôvodu, že rozpočet kapitoly rezortu školstva pokrýva širší okruh oblastí než NPRVV (napríklad oblasť špo</w:t>
      </w:r>
      <w:r>
        <w:t xml:space="preserve">rtu, mládeže, vedy a výskumu), (d) z dôvodu, že vzdelávacie aktivity sa uskutočňujú a financujú aj </w:t>
      </w:r>
      <w:r>
        <w:lastRenderedPageBreak/>
        <w:t>mimo rezortu školstva, napríklad v rezorte vnútra, na trhu práce v rámci ďalšieho vzdelávania a pod.</w:t>
      </w:r>
      <w:r>
        <w:rPr>
          <w:i/>
        </w:rPr>
        <w:t xml:space="preserve"> </w:t>
      </w:r>
    </w:p>
    <w:p w:rsidR="00071B02" w:rsidRDefault="008F460B">
      <w:pPr>
        <w:pStyle w:val="Nadpis2"/>
        <w:ind w:left="-5"/>
      </w:pPr>
      <w:bookmarkStart w:id="36" w:name="_Toc89354"/>
      <w:r>
        <w:t>5. 5. Systém monitorovania a hodnotenia realizácie stra</w:t>
      </w:r>
      <w:r>
        <w:t xml:space="preserve">tégie </w:t>
      </w:r>
      <w:bookmarkEnd w:id="36"/>
    </w:p>
    <w:p w:rsidR="00071B02" w:rsidRDefault="008F460B">
      <w:r>
        <w:t xml:space="preserve">NPRVV je živým dokumentom, ktorý bude pravidelne v dvojročných cykloch revidovaný a v prípade potreby dopĺňaný v závislosti od stavu implementácie.  </w:t>
      </w:r>
    </w:p>
    <w:p w:rsidR="00071B02" w:rsidRDefault="008F460B">
      <w:pPr>
        <w:spacing w:after="82"/>
      </w:pPr>
      <w:r>
        <w:t>Revízia stratégie bude prepojená na revíziu výdavkov štátneho rozpočtu SR, ktorá je pravidelne prip</w:t>
      </w:r>
      <w:r>
        <w:t xml:space="preserve">ravovaná analytickými útvarmi MŠVVŠ SR a MF SR. </w:t>
      </w:r>
    </w:p>
    <w:p w:rsidR="00071B02" w:rsidRDefault="008F460B">
      <w:pPr>
        <w:spacing w:after="297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pStyle w:val="Nadpis2"/>
        <w:spacing w:after="115"/>
        <w:ind w:left="-5"/>
      </w:pPr>
      <w:bookmarkStart w:id="37" w:name="_Toc89355"/>
      <w:r>
        <w:t xml:space="preserve">5. 6. Systém riadenia rizík a predpoklady realizácie stratégie </w:t>
      </w:r>
      <w:bookmarkEnd w:id="37"/>
    </w:p>
    <w:p w:rsidR="00071B02" w:rsidRDefault="008F460B">
      <w:pPr>
        <w:spacing w:after="144"/>
      </w:pPr>
      <w:r>
        <w:t>S ohľadom na dlhodobý charakter NPRVV sú riziká ovplyvňujúce realizáciu stratégie spojené s potrebou stability najmä v nasledovných oblastiac</w:t>
      </w:r>
      <w:r>
        <w:t xml:space="preserve">h:  </w:t>
      </w:r>
    </w:p>
    <w:p w:rsidR="00071B02" w:rsidRDefault="008F460B">
      <w:pPr>
        <w:numPr>
          <w:ilvl w:val="0"/>
          <w:numId w:val="17"/>
        </w:numPr>
        <w:spacing w:after="151"/>
        <w:ind w:hanging="720"/>
      </w:pPr>
      <w:r>
        <w:t xml:space="preserve">Potreba rešpektovania vytýčenej stratégie a opatrení nad rámec bežného politického cyklu (do r. 2027) </w:t>
      </w:r>
    </w:p>
    <w:p w:rsidR="00071B02" w:rsidRDefault="008F460B">
      <w:pPr>
        <w:numPr>
          <w:ilvl w:val="0"/>
          <w:numId w:val="17"/>
        </w:numPr>
        <w:spacing w:after="107"/>
        <w:ind w:hanging="720"/>
      </w:pPr>
      <w:r>
        <w:t xml:space="preserve">Potreba dodržania finančného rámca na dlhšie obdobie.  </w:t>
      </w:r>
    </w:p>
    <w:p w:rsidR="00071B02" w:rsidRDefault="008F460B">
      <w:pPr>
        <w:numPr>
          <w:ilvl w:val="0"/>
          <w:numId w:val="17"/>
        </w:numPr>
        <w:spacing w:after="80"/>
        <w:ind w:hanging="720"/>
      </w:pPr>
      <w:r>
        <w:t xml:space="preserve">Potreba zachovania základného smerovania a celkovej koncepcie nastúpenej zmeny. </w:t>
      </w:r>
    </w:p>
    <w:p w:rsidR="00071B02" w:rsidRDefault="008F460B">
      <w:pPr>
        <w:spacing w:after="82"/>
      </w:pPr>
      <w:r>
        <w:t>Uvedené riziká spočívajú najmä v politickej oblasti a sú spojené s celkovou koncepciou rozvoja výchovy a vzdelávania. Riziká je možné eliminovať prostredníctvom dlhodobého spoločenského konsenzu o základnom smerovaní rozvoja. S ohľadom na dlhodobý proces p</w:t>
      </w:r>
      <w:r>
        <w:t xml:space="preserve">rípravy stratégie, ktorý sa opieral o viaceré kľúčové dokumenty a mal široký participatívny charakter založený na prepojení názorového spektra širšej občianskej spoločnosti, NPRVV spĺňa predpoklady pre zachovanie politickej stability pri jeho napĺňaní.    </w:t>
      </w:r>
    </w:p>
    <w:p w:rsidR="00071B02" w:rsidRDefault="008F460B">
      <w:pPr>
        <w:spacing w:after="123"/>
      </w:pPr>
      <w:r>
        <w:t xml:space="preserve">Základným rizikom je najmä miera financovania systému. Niektoré opatrenia nie je možné spoľahlivo technicky riešiť resp. rozpočtovať z dôvodu komplexnosti programu alebo neistoty ohľadom budúceho vývoja cien a ďalších parametrov systému </w:t>
      </w:r>
    </w:p>
    <w:p w:rsidR="00071B02" w:rsidRDefault="008F460B">
      <w:pPr>
        <w:spacing w:after="150"/>
      </w:pPr>
      <w:r>
        <w:t>Základným predpok</w:t>
      </w:r>
      <w:r>
        <w:t xml:space="preserve">ladom realizácie stratégie je zachovanie základnej filozofie a koncepcie NPRVV. Pre dosiahnutie strategických cieľov stratégie je v dlhodobom horizonte  potrebné dodržať nasledovné tri prvky:  </w:t>
      </w:r>
    </w:p>
    <w:p w:rsidR="00071B02" w:rsidRDefault="008F460B">
      <w:pPr>
        <w:numPr>
          <w:ilvl w:val="0"/>
          <w:numId w:val="17"/>
        </w:numPr>
        <w:spacing w:after="118"/>
        <w:ind w:hanging="720"/>
      </w:pPr>
      <w:r>
        <w:t xml:space="preserve">orientácia na zvýšenie inkluzívnosti systému,  </w:t>
      </w:r>
    </w:p>
    <w:p w:rsidR="00071B02" w:rsidRDefault="008F460B">
      <w:pPr>
        <w:numPr>
          <w:ilvl w:val="0"/>
          <w:numId w:val="17"/>
        </w:numPr>
        <w:spacing w:after="164" w:line="259" w:lineRule="auto"/>
        <w:ind w:hanging="720"/>
      </w:pPr>
      <w:r>
        <w:t>(prechod na či</w:t>
      </w:r>
      <w:r>
        <w:t xml:space="preserve">stý jednoštruktúrový model vzdelávania v regionálnom školstve </w:t>
      </w:r>
      <w:r>
        <w:rPr>
          <w:i/>
        </w:rPr>
        <w:t xml:space="preserve"> </w:t>
      </w:r>
    </w:p>
    <w:p w:rsidR="00071B02" w:rsidRDefault="008F460B">
      <w:pPr>
        <w:numPr>
          <w:ilvl w:val="0"/>
          <w:numId w:val="17"/>
        </w:numPr>
        <w:spacing w:after="54"/>
        <w:ind w:hanging="720"/>
      </w:pPr>
      <w:r>
        <w:t xml:space="preserve">celkové dofinancovanie systému.  </w:t>
      </w:r>
    </w:p>
    <w:p w:rsidR="00071B02" w:rsidRDefault="008F460B">
      <w:pPr>
        <w:spacing w:after="139" w:line="259" w:lineRule="auto"/>
        <w:ind w:left="0" w:firstLine="0"/>
        <w:jc w:val="left"/>
      </w:pPr>
      <w:r>
        <w:t xml:space="preserve"> </w:t>
      </w:r>
    </w:p>
    <w:p w:rsidR="00071B02" w:rsidRDefault="008F460B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 </w:t>
      </w:r>
    </w:p>
    <w:p w:rsidR="00071B02" w:rsidRDefault="008F460B">
      <w:pPr>
        <w:pStyle w:val="Nadpis1"/>
        <w:ind w:left="-5"/>
      </w:pPr>
      <w:bookmarkStart w:id="38" w:name="_Toc89356"/>
      <w:r>
        <w:lastRenderedPageBreak/>
        <w:t>6. Postup tvorby stratégie</w:t>
      </w:r>
      <w:r>
        <w:rPr>
          <w:sz w:val="24"/>
        </w:rPr>
        <w:t xml:space="preserve"> </w:t>
      </w:r>
      <w:bookmarkEnd w:id="38"/>
    </w:p>
    <w:p w:rsidR="00071B02" w:rsidRDefault="008F460B">
      <w:pPr>
        <w:pStyle w:val="Nadpis2"/>
        <w:ind w:left="-5"/>
      </w:pPr>
      <w:bookmarkStart w:id="39" w:name="_Toc89357"/>
      <w:r>
        <w:t xml:space="preserve">6. 1. Autori stratégie a zúčastnené strany </w:t>
      </w:r>
      <w:bookmarkEnd w:id="39"/>
    </w:p>
    <w:p w:rsidR="00071B02" w:rsidRDefault="008F460B">
      <w:pPr>
        <w:spacing w:after="213"/>
      </w:pPr>
      <w:r>
        <w:t>Ministerstvo pred predložením materiálu prizvalo ku ďalšej spolupráci na príprav</w:t>
      </w:r>
      <w:r>
        <w:t xml:space="preserve">e implementačného plánu NPRVV expertov najmä z prostredia stavovských a profesijných organizácií z oblasti regionálneho školstva, vysokého školstva a vedy a výskumu. </w:t>
      </w:r>
    </w:p>
    <w:p w:rsidR="00071B02" w:rsidRDefault="008F460B">
      <w:pPr>
        <w:pStyle w:val="Nadpis3"/>
        <w:spacing w:after="179"/>
        <w:ind w:left="-5"/>
      </w:pPr>
      <w:bookmarkStart w:id="40" w:name="_Toc89358"/>
      <w:r>
        <w:t xml:space="preserve">6.1.1. Členovia pracovných skupín pre prípravu NPRVV </w:t>
      </w:r>
      <w:bookmarkEnd w:id="40"/>
    </w:p>
    <w:p w:rsidR="00071B02" w:rsidRDefault="008F460B">
      <w:pPr>
        <w:spacing w:after="191" w:line="267" w:lineRule="auto"/>
        <w:ind w:left="370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Oblasť regionálneho školstva </w:t>
      </w:r>
    </w:p>
    <w:p w:rsidR="00071B02" w:rsidRDefault="008F460B">
      <w:pPr>
        <w:numPr>
          <w:ilvl w:val="0"/>
          <w:numId w:val="18"/>
        </w:numPr>
        <w:ind w:hanging="360"/>
      </w:pPr>
      <w:r>
        <w:t xml:space="preserve">Mgr. Alena Petáková, Združenie základných škôl Slovenska </w:t>
      </w:r>
    </w:p>
    <w:p w:rsidR="00071B02" w:rsidRDefault="008F460B">
      <w:pPr>
        <w:numPr>
          <w:ilvl w:val="0"/>
          <w:numId w:val="18"/>
        </w:numPr>
        <w:ind w:hanging="360"/>
      </w:pPr>
      <w:r>
        <w:t xml:space="preserve">RNDr. Ingrid Gamčíková, Odborový zväz pracovníkov školstva a vedy na Slovensku </w:t>
      </w:r>
    </w:p>
    <w:p w:rsidR="00071B02" w:rsidRDefault="008F460B">
      <w:pPr>
        <w:numPr>
          <w:ilvl w:val="0"/>
          <w:numId w:val="18"/>
        </w:numPr>
        <w:spacing w:after="27"/>
        <w:ind w:hanging="360"/>
      </w:pPr>
      <w:r>
        <w:t>Ing. Katarína Koledová, Spoločnosť pre predškolskú výchovu/Slovenský výbor svetovej organizácie pre predškolskú výchov</w:t>
      </w:r>
      <w:r>
        <w:t xml:space="preserve">u (OMEP) </w:t>
      </w:r>
    </w:p>
    <w:p w:rsidR="00071B02" w:rsidRDefault="008F460B">
      <w:pPr>
        <w:numPr>
          <w:ilvl w:val="0"/>
          <w:numId w:val="18"/>
        </w:numPr>
        <w:ind w:hanging="360"/>
      </w:pPr>
      <w:r>
        <w:t xml:space="preserve">Mgr. Ján Horecký, Združenie katolíckych škôl Slovenska </w:t>
      </w:r>
    </w:p>
    <w:p w:rsidR="00071B02" w:rsidRDefault="008F460B">
      <w:pPr>
        <w:numPr>
          <w:ilvl w:val="0"/>
          <w:numId w:val="18"/>
        </w:numPr>
        <w:spacing w:after="27"/>
        <w:ind w:hanging="360"/>
      </w:pPr>
      <w:r>
        <w:t xml:space="preserve">PhDr. </w:t>
      </w:r>
      <w:r>
        <w:tab/>
        <w:t xml:space="preserve">Viera </w:t>
      </w:r>
      <w:r>
        <w:tab/>
        <w:t xml:space="preserve">Hybenová, </w:t>
      </w:r>
      <w:r>
        <w:tab/>
        <w:t xml:space="preserve">Združenie </w:t>
      </w:r>
      <w:r>
        <w:tab/>
        <w:t xml:space="preserve">zamestnancov </w:t>
      </w:r>
      <w:r>
        <w:tab/>
        <w:t xml:space="preserve">centier </w:t>
      </w:r>
      <w:r>
        <w:tab/>
        <w:t xml:space="preserve">pedagogickopsychologického poradenstva a prevencie na Slovensku </w:t>
      </w:r>
    </w:p>
    <w:p w:rsidR="00071B02" w:rsidRDefault="008F460B">
      <w:pPr>
        <w:numPr>
          <w:ilvl w:val="0"/>
          <w:numId w:val="18"/>
        </w:numPr>
        <w:ind w:hanging="360"/>
      </w:pPr>
      <w:r>
        <w:t xml:space="preserve">RNDr. Jozef Škorupa, Asociácia riaditeľov štátnych gymnázií  </w:t>
      </w:r>
    </w:p>
    <w:p w:rsidR="00071B02" w:rsidRDefault="008F460B">
      <w:pPr>
        <w:numPr>
          <w:ilvl w:val="0"/>
          <w:numId w:val="18"/>
        </w:numPr>
        <w:spacing w:after="26"/>
        <w:ind w:hanging="360"/>
      </w:pPr>
      <w:r>
        <w:t>Paed</w:t>
      </w:r>
      <w:r>
        <w:t xml:space="preserve">Dr. </w:t>
      </w:r>
      <w:r>
        <w:tab/>
        <w:t xml:space="preserve">Jana </w:t>
      </w:r>
      <w:r>
        <w:tab/>
        <w:t xml:space="preserve">Kandríková, </w:t>
      </w:r>
      <w:r>
        <w:tab/>
        <w:t xml:space="preserve">Združenie </w:t>
      </w:r>
      <w:r>
        <w:tab/>
        <w:t xml:space="preserve">odborných </w:t>
      </w:r>
      <w:r>
        <w:tab/>
        <w:t xml:space="preserve">učilíšť, </w:t>
      </w:r>
      <w:r>
        <w:tab/>
        <w:t xml:space="preserve">špeciálnych </w:t>
      </w:r>
      <w:r>
        <w:tab/>
        <w:t xml:space="preserve">škôl a špeciálnych výchovných zariadení Slovenska </w:t>
      </w:r>
    </w:p>
    <w:p w:rsidR="00071B02" w:rsidRDefault="008F460B">
      <w:pPr>
        <w:numPr>
          <w:ilvl w:val="0"/>
          <w:numId w:val="18"/>
        </w:numPr>
        <w:ind w:hanging="360"/>
      </w:pPr>
      <w:r>
        <w:t xml:space="preserve">Ing. Mária Niklová, Klub 500 </w:t>
      </w:r>
    </w:p>
    <w:p w:rsidR="00071B02" w:rsidRDefault="008F460B">
      <w:pPr>
        <w:numPr>
          <w:ilvl w:val="0"/>
          <w:numId w:val="18"/>
        </w:numPr>
        <w:ind w:hanging="360"/>
      </w:pPr>
      <w:r>
        <w:t xml:space="preserve">Ing. Igor Patráš, Republiková únia zamestnávateľov </w:t>
      </w:r>
    </w:p>
    <w:p w:rsidR="00071B02" w:rsidRDefault="008F460B">
      <w:pPr>
        <w:numPr>
          <w:ilvl w:val="0"/>
          <w:numId w:val="18"/>
        </w:numPr>
        <w:ind w:hanging="360"/>
      </w:pPr>
      <w:r>
        <w:t xml:space="preserve">Ing. Marian Galan, MŠVVŠ SR </w:t>
      </w:r>
    </w:p>
    <w:p w:rsidR="00071B02" w:rsidRDefault="008F460B">
      <w:pPr>
        <w:numPr>
          <w:ilvl w:val="0"/>
          <w:numId w:val="18"/>
        </w:numPr>
        <w:spacing w:after="101"/>
        <w:ind w:hanging="360"/>
      </w:pPr>
      <w:r>
        <w:t>Mgr. Ingrid Kováčová, MŠV</w:t>
      </w:r>
      <w:r>
        <w:t xml:space="preserve">VŠ SR </w:t>
      </w:r>
    </w:p>
    <w:p w:rsidR="00071B02" w:rsidRDefault="008F460B">
      <w:pPr>
        <w:spacing w:after="180" w:line="267" w:lineRule="auto"/>
        <w:ind w:left="370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Oblasť vysokého školstva </w:t>
      </w:r>
    </w:p>
    <w:p w:rsidR="00071B02" w:rsidRDefault="008F460B">
      <w:pPr>
        <w:numPr>
          <w:ilvl w:val="0"/>
          <w:numId w:val="19"/>
        </w:numPr>
        <w:spacing w:after="34"/>
        <w:ind w:hanging="360"/>
      </w:pPr>
      <w:r>
        <w:t xml:space="preserve">Prof. Ing. Rudolf Kropil, CSc., Slovenská rektorská konferencia, rektor Technickej univerzity vo Zvolene </w:t>
      </w:r>
    </w:p>
    <w:p w:rsidR="00071B02" w:rsidRDefault="008F460B">
      <w:pPr>
        <w:numPr>
          <w:ilvl w:val="0"/>
          <w:numId w:val="19"/>
        </w:numPr>
        <w:ind w:hanging="360"/>
      </w:pPr>
      <w:r>
        <w:t xml:space="preserve">doc. RNDr. Martin Putala, PhD., Rada vysokých škôl  </w:t>
      </w:r>
    </w:p>
    <w:p w:rsidR="00071B02" w:rsidRDefault="008F460B">
      <w:pPr>
        <w:numPr>
          <w:ilvl w:val="0"/>
          <w:numId w:val="19"/>
        </w:numPr>
        <w:ind w:hanging="360"/>
      </w:pPr>
      <w:r>
        <w:t xml:space="preserve">Bálint Lovasz, Študentská rada vysokých škôl </w:t>
      </w:r>
    </w:p>
    <w:p w:rsidR="00071B02" w:rsidRDefault="008F460B">
      <w:pPr>
        <w:numPr>
          <w:ilvl w:val="0"/>
          <w:numId w:val="19"/>
        </w:numPr>
        <w:ind w:hanging="360"/>
      </w:pPr>
      <w:r>
        <w:t xml:space="preserve">Mgr. Renáta Hall, riaditeľka projektu To dá rozum </w:t>
      </w:r>
    </w:p>
    <w:p w:rsidR="00071B02" w:rsidRDefault="008F460B">
      <w:pPr>
        <w:numPr>
          <w:ilvl w:val="0"/>
          <w:numId w:val="19"/>
        </w:numPr>
        <w:spacing w:after="28"/>
        <w:ind w:hanging="360"/>
      </w:pPr>
      <w:r>
        <w:t xml:space="preserve">JUDr. PhDr. Lucia Mokrá, PhD., Fakulta sociálnych a ekonomických vied Univerzity Komenského v Bratislave </w:t>
      </w:r>
    </w:p>
    <w:p w:rsidR="00071B02" w:rsidRDefault="008F460B">
      <w:pPr>
        <w:numPr>
          <w:ilvl w:val="0"/>
          <w:numId w:val="19"/>
        </w:numPr>
        <w:spacing w:after="36"/>
        <w:ind w:hanging="360"/>
      </w:pPr>
      <w:r>
        <w:t xml:space="preserve">Ing. Štefan Boháček, PhD., predstavenstvo Výskumného ústavu papiera a celulózy a.s., AZZZ </w:t>
      </w:r>
    </w:p>
    <w:p w:rsidR="00071B02" w:rsidRDefault="008F460B">
      <w:pPr>
        <w:numPr>
          <w:ilvl w:val="0"/>
          <w:numId w:val="19"/>
        </w:numPr>
        <w:ind w:hanging="360"/>
      </w:pPr>
      <w:r>
        <w:t xml:space="preserve">doc. Ing. Peter Gallo, CSc., Ing., Prešovská univerzita v Prešove, OZPŠaV </w:t>
      </w:r>
    </w:p>
    <w:p w:rsidR="00071B02" w:rsidRDefault="008F460B">
      <w:pPr>
        <w:numPr>
          <w:ilvl w:val="0"/>
          <w:numId w:val="19"/>
        </w:numPr>
        <w:ind w:hanging="360"/>
      </w:pPr>
      <w:r>
        <w:t xml:space="preserve">Mgr. Jozef Jurkovič, MŠVVŠ SR </w:t>
      </w:r>
    </w:p>
    <w:p w:rsidR="00071B02" w:rsidRDefault="008F460B">
      <w:pPr>
        <w:numPr>
          <w:ilvl w:val="0"/>
          <w:numId w:val="19"/>
        </w:numPr>
        <w:ind w:hanging="360"/>
      </w:pPr>
      <w:r>
        <w:t xml:space="preserve">Mgr. Pavol Galáš, MŠVVŠ SR </w:t>
      </w:r>
    </w:p>
    <w:p w:rsidR="00071B02" w:rsidRDefault="008F460B">
      <w:pPr>
        <w:spacing w:after="67" w:line="267" w:lineRule="auto"/>
        <w:ind w:left="370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Oblasť vedy a techniky </w:t>
      </w:r>
    </w:p>
    <w:p w:rsidR="00071B02" w:rsidRDefault="008F460B">
      <w:pPr>
        <w:numPr>
          <w:ilvl w:val="0"/>
          <w:numId w:val="20"/>
        </w:numPr>
        <w:ind w:hanging="360"/>
      </w:pPr>
      <w:r>
        <w:lastRenderedPageBreak/>
        <w:t>Prof. Ing. Viktor Smieško, PhD., Rady pre vedu, techniku a umenie pri Rade vysokých škôl, Fakul</w:t>
      </w:r>
      <w:r>
        <w:t xml:space="preserve">ta elektrotechniky a informatiky, Slovenská technická univerzita Bratislave  </w:t>
      </w:r>
    </w:p>
    <w:p w:rsidR="00071B02" w:rsidRDefault="008F460B">
      <w:pPr>
        <w:numPr>
          <w:ilvl w:val="0"/>
          <w:numId w:val="20"/>
        </w:numPr>
        <w:ind w:hanging="360"/>
      </w:pPr>
      <w:r>
        <w:t xml:space="preserve">Prof. Ing. Robert Redhammer, PhD., Slovenská technická univerzita v Bratislave  </w:t>
      </w:r>
    </w:p>
    <w:p w:rsidR="00071B02" w:rsidRDefault="008F460B">
      <w:pPr>
        <w:numPr>
          <w:ilvl w:val="0"/>
          <w:numId w:val="20"/>
        </w:numPr>
        <w:ind w:hanging="360"/>
      </w:pPr>
      <w:r>
        <w:t xml:space="preserve">Ing. Zdena Sulová, DrSc., Centrum biovied SAV, Slovenská akadémia vied </w:t>
      </w:r>
    </w:p>
    <w:p w:rsidR="00071B02" w:rsidRDefault="008F460B">
      <w:pPr>
        <w:numPr>
          <w:ilvl w:val="0"/>
          <w:numId w:val="20"/>
        </w:numPr>
        <w:ind w:hanging="360"/>
      </w:pPr>
      <w:r>
        <w:t>Dr. h. c. prof. MUDr. Ján</w:t>
      </w:r>
      <w:r>
        <w:t xml:space="preserve"> Slezák, DrSc., FIACS, Ústav pre výskum srdca SAV, Slovenská akadémia vied  </w:t>
      </w:r>
    </w:p>
    <w:p w:rsidR="00071B02" w:rsidRDefault="008F460B">
      <w:pPr>
        <w:numPr>
          <w:ilvl w:val="0"/>
          <w:numId w:val="20"/>
        </w:numPr>
        <w:ind w:hanging="360"/>
      </w:pPr>
      <w:r>
        <w:t xml:space="preserve">Ing. Mgr. Tibor Gregor, Klub 500 </w:t>
      </w:r>
    </w:p>
    <w:p w:rsidR="00071B02" w:rsidRDefault="008F460B">
      <w:pPr>
        <w:numPr>
          <w:ilvl w:val="0"/>
          <w:numId w:val="20"/>
        </w:numPr>
        <w:ind w:hanging="360"/>
      </w:pPr>
      <w:r>
        <w:t xml:space="preserve">Bc. PhDr. Marek Hajduk, PhD., MŠVVŠ SR </w:t>
      </w:r>
    </w:p>
    <w:p w:rsidR="00071B02" w:rsidRDefault="008F460B">
      <w:pPr>
        <w:numPr>
          <w:ilvl w:val="0"/>
          <w:numId w:val="20"/>
        </w:numPr>
        <w:ind w:hanging="360"/>
      </w:pPr>
      <w:r>
        <w:t xml:space="preserve">Ing. Róbert Szabó, PhD., MŠVVŠ SR </w:t>
      </w:r>
    </w:p>
    <w:p w:rsidR="00071B02" w:rsidRDefault="008F460B">
      <w:pPr>
        <w:numPr>
          <w:ilvl w:val="0"/>
          <w:numId w:val="20"/>
        </w:numPr>
        <w:spacing w:after="182"/>
        <w:ind w:hanging="360"/>
      </w:pPr>
      <w:r>
        <w:t xml:space="preserve">Ing. Lukáš Zendulka, PhD., MŠVVŠ SR </w:t>
      </w:r>
    </w:p>
    <w:p w:rsidR="00071B02" w:rsidRDefault="008F460B">
      <w:pPr>
        <w:pStyle w:val="Nadpis3"/>
        <w:spacing w:after="143"/>
        <w:ind w:left="-5"/>
      </w:pPr>
      <w:bookmarkStart w:id="41" w:name="_Toc89359"/>
      <w:r>
        <w:t>6.1.2. Členovia pracovnej skupiny</w:t>
      </w:r>
      <w:r>
        <w:t xml:space="preserve"> fínskych expertov pre implementáciu NPRVV </w:t>
      </w:r>
      <w:bookmarkEnd w:id="41"/>
    </w:p>
    <w:p w:rsidR="00071B02" w:rsidRDefault="008F460B">
      <w:pPr>
        <w:numPr>
          <w:ilvl w:val="0"/>
          <w:numId w:val="21"/>
        </w:numPr>
        <w:ind w:hanging="360"/>
      </w:pPr>
      <w:r>
        <w:t xml:space="preserve">Maija Aksela, LUMA Centre Finland, University of Helsinki, Director, Professor </w:t>
      </w:r>
    </w:p>
    <w:p w:rsidR="00071B02" w:rsidRDefault="008F460B">
      <w:pPr>
        <w:numPr>
          <w:ilvl w:val="0"/>
          <w:numId w:val="21"/>
        </w:numPr>
        <w:ind w:hanging="360"/>
      </w:pPr>
      <w:r>
        <w:t xml:space="preserve">Kristiina Erkkilä, City of Espoo, Director of Development at City of Espoo  </w:t>
      </w:r>
    </w:p>
    <w:p w:rsidR="00071B02" w:rsidRDefault="008F460B">
      <w:pPr>
        <w:numPr>
          <w:ilvl w:val="0"/>
          <w:numId w:val="21"/>
        </w:numPr>
        <w:spacing w:after="31" w:line="259" w:lineRule="auto"/>
        <w:ind w:hanging="360"/>
      </w:pPr>
      <w:r>
        <w:t>Sasu Hovi, Ice Hockey Development Centre v Tampere (HDC</w:t>
      </w:r>
      <w:r>
        <w:t xml:space="preserve"> Finland), Zakladateľ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Lauri Järvilehto, Spoluzakladateľ a riaditeľ vzdelávacieho herného štúdia Lightneer </w:t>
      </w:r>
    </w:p>
    <w:p w:rsidR="00071B02" w:rsidRDefault="008F460B">
      <w:pPr>
        <w:numPr>
          <w:ilvl w:val="0"/>
          <w:numId w:val="21"/>
        </w:numPr>
        <w:spacing w:after="30"/>
        <w:ind w:hanging="360"/>
      </w:pPr>
      <w:r>
        <w:t xml:space="preserve">Marjo Kyllönen, City of Helsinki (Mesto Helsinki), Riaditeľka oddelenia pre rozvoj vzdelávania </w:t>
      </w:r>
    </w:p>
    <w:p w:rsidR="00071B02" w:rsidRDefault="008F460B">
      <w:pPr>
        <w:numPr>
          <w:ilvl w:val="0"/>
          <w:numId w:val="21"/>
        </w:numPr>
        <w:ind w:hanging="360"/>
      </w:pPr>
      <w:r>
        <w:t xml:space="preserve">Sanna Lukander, FUN Academy, Zakladateľka, CEO </w:t>
      </w:r>
    </w:p>
    <w:p w:rsidR="00071B02" w:rsidRDefault="008F460B">
      <w:pPr>
        <w:numPr>
          <w:ilvl w:val="0"/>
          <w:numId w:val="21"/>
        </w:numPr>
        <w:ind w:hanging="360"/>
      </w:pPr>
      <w:r>
        <w:t xml:space="preserve">Juhani Rautapuro, University of Jyväskylä, Finnish Institute for Educational Research, Associate professor, Head of Educational systems and society research area, International assessment studies  </w:t>
      </w:r>
    </w:p>
    <w:p w:rsidR="00071B02" w:rsidRDefault="008F460B">
      <w:pPr>
        <w:numPr>
          <w:ilvl w:val="0"/>
          <w:numId w:val="21"/>
        </w:numPr>
        <w:ind w:hanging="360"/>
      </w:pPr>
      <w:r>
        <w:t>Sampo Suihko, Secondary school, VET Centre, Omnia, Directo</w:t>
      </w:r>
      <w:r>
        <w:t xml:space="preserve">r General, Professor </w:t>
      </w:r>
    </w:p>
    <w:p w:rsidR="00071B02" w:rsidRDefault="008F460B">
      <w:pPr>
        <w:numPr>
          <w:ilvl w:val="0"/>
          <w:numId w:val="21"/>
        </w:numPr>
        <w:spacing w:after="34"/>
        <w:ind w:hanging="360"/>
      </w:pPr>
      <w:r>
        <w:t xml:space="preserve">Jussi Välimaa, University of Jyväskylä, Professor, Director of the Finnish Institute for Educational Research </w:t>
      </w:r>
    </w:p>
    <w:p w:rsidR="00071B02" w:rsidRDefault="008F460B">
      <w:pPr>
        <w:numPr>
          <w:ilvl w:val="0"/>
          <w:numId w:val="21"/>
        </w:numPr>
        <w:spacing w:after="30"/>
        <w:ind w:hanging="360"/>
      </w:pPr>
      <w:r>
        <w:t>Peter Vesterbacka, Bay Area Development, Fínsky podnikateľ, investor a vizionár vo vzdelávaní, ktoré v sebe spája tri zložk</w:t>
      </w:r>
      <w:r>
        <w:t xml:space="preserve">y – vzdelávanie, zábavu a podnikateľského ducha. V spoločnosti Rovio pôsobil ako marketingový guru a „Mighty Eagle“ pre značku Angry Birds. </w:t>
      </w:r>
    </w:p>
    <w:p w:rsidR="00071B02" w:rsidRDefault="008F460B">
      <w:pPr>
        <w:numPr>
          <w:ilvl w:val="0"/>
          <w:numId w:val="21"/>
        </w:numPr>
        <w:spacing w:after="241"/>
        <w:ind w:hanging="360"/>
      </w:pPr>
      <w:r>
        <w:t>Risto Vilkko, Academy of Finland, Programme Unit, Programme Manager (Fínska akadémia, programová jednotka, programo</w:t>
      </w:r>
      <w:r>
        <w:t xml:space="preserve">vý manažér) </w:t>
      </w:r>
    </w:p>
    <w:p w:rsidR="00071B02" w:rsidRDefault="008F460B">
      <w:pPr>
        <w:pStyle w:val="Nadpis2"/>
        <w:spacing w:after="112"/>
        <w:ind w:left="-5"/>
      </w:pPr>
      <w:bookmarkStart w:id="42" w:name="_Toc89360"/>
      <w:r>
        <w:t xml:space="preserve">6. 2. Opis postupu tvorby stratégie </w:t>
      </w:r>
      <w:bookmarkEnd w:id="42"/>
    </w:p>
    <w:p w:rsidR="00071B02" w:rsidRDefault="008F460B">
      <w:pPr>
        <w:spacing w:after="64"/>
      </w:pPr>
      <w:r>
        <w:t>Na základe úlohy obsiahnutej v PVV začalo ministerstvo v roku 2016 pripravovať návrh Národného programu rozvoja výchovy a vzdelávania. Prizvalo k spolupráci skupinu siedmich expertov, ktorí v prvej etape pr</w:t>
      </w:r>
      <w:r>
        <w:t>ipravili dokument s názvom „Učiace sa Slovensko“ a predložili ho na verejnú diskusiu v marci 2017. Za dva mesiace k nemu prišlo takmer 4 000 pripomienok, ktoré boli autormi vyhodnotené a čiastočne zapracované. Záverečná verzia dokumentu bola odovzdaná mini</w:t>
      </w:r>
      <w:r>
        <w:t xml:space="preserve">sterstvu vo forme autorského dokumentu 30. septembra 2017. Ministerstvo </w:t>
      </w:r>
      <w:r>
        <w:lastRenderedPageBreak/>
        <w:t>uvedený autorský dokument následne zverejnilo na svojom webovom sídle. Z vecnej stránky predstavil autorský dokument „Učiace sa Slovensko“ kvalitatívnu víziu vývoja systému výchovy a v</w:t>
      </w:r>
      <w:r>
        <w:t>zdelávania na desaťročné obdobie, popísanú v jednotlivých kapitolách autormi na základe ich vnímania situácie založenom na vlastných expertných náhľadoch. Dokument neposkytol aktualizáciu údajovej základne resp. analýz vypracovaných v Správe o stave školst</w:t>
      </w:r>
      <w:r>
        <w:t>va. Dokument bol odovzdaný vo forme autorského dokumentu, pričom časový rámec jeho prípravy značne presiahol obdobie potrebné pre vypracovania NPRVV v súlade so stanovenými termínmi. Dokument poskytol cenné kvalitatívne pohľady na systém výchovy a vzdeláva</w:t>
      </w:r>
      <w:r>
        <w:t xml:space="preserve">nia. NPRVV je založený na dokumente „Učiace sa Slovensko“. </w:t>
      </w:r>
    </w:p>
    <w:p w:rsidR="00071B02" w:rsidRDefault="008F460B">
      <w:pPr>
        <w:spacing w:after="133"/>
      </w:pPr>
      <w:r>
        <w:t>V procese prípravy autorského dokumentu „Učiace sa Slovensko“ aj po zverejnení jeho finálnej verzie dostalo ministerstvo ďalšie stanoviská a pripomienky od mnohých stavovských, profesijných a ďalš</w:t>
      </w:r>
      <w:r>
        <w:t>ích organizácií pôsobiacich v oblasti výchovy a vzdelávania. V nadväznosti na tieto pripomienky ministerstvo pred predložením materiálu prizvalo ku ďalšej spolupráci na príprave implementačného plánu NPRVV expertov najmä z prostredia stavovských a profesij</w:t>
      </w:r>
      <w:r>
        <w:t xml:space="preserve">ných organizácií z oblasti regionálneho školstva, vysokého školstva a vedy a výskumu.  </w:t>
      </w:r>
    </w:p>
    <w:p w:rsidR="00071B02" w:rsidRDefault="008F460B">
      <w:pPr>
        <w:spacing w:after="89"/>
      </w:pPr>
      <w:r>
        <w:t>V procese prípravy NPRVV sa uskutočnili pracovné cesty slovenskej skupiny odborníkov do Fínska v januári 2018 a fínskej skupiny odborníkov na Slovensko v marci 2018. Ci</w:t>
      </w:r>
      <w:r>
        <w:t>eľom ciest boli konzultácie zamerané na implementáciu NPRVV, zdieľanie skúseností s budovaním inkluzívneho modelu vzdelávania vo Fínsku a možný transfer dobrých praktík z fínskeho vzdelávacieho systému. Fínski odborníci ponúkli dlhodobejšiu účasť na implem</w:t>
      </w:r>
      <w:r>
        <w:t xml:space="preserve">entácii NPRVV prostredníctvom členstva v stálej pracovnej skupine. S ohľadom na uvedené je NPRVV výsledkom širokého participatívneho procesu zahŕňajúceho verejnú i odbornú diskusiu, pripomienkovanie zo strany ústredných orgánov štátnej správy, verejnosti, </w:t>
      </w:r>
      <w:r>
        <w:t xml:space="preserve">stavovských a profesijných organizácií a expertov. </w:t>
      </w:r>
    </w:p>
    <w:p w:rsidR="00071B02" w:rsidRDefault="008F460B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071B02" w:rsidRDefault="008F460B">
      <w:pPr>
        <w:pStyle w:val="Nadpis1"/>
        <w:spacing w:after="0"/>
        <w:ind w:left="-5"/>
      </w:pPr>
      <w:bookmarkStart w:id="43" w:name="_Toc89361"/>
      <w:r>
        <w:lastRenderedPageBreak/>
        <w:t xml:space="preserve">7. Príloha – Implementačný plán NPRVV </w:t>
      </w:r>
      <w:bookmarkEnd w:id="43"/>
    </w:p>
    <w:sectPr w:rsidR="00071B02">
      <w:headerReference w:type="even" r:id="rId148"/>
      <w:headerReference w:type="default" r:id="rId149"/>
      <w:footerReference w:type="even" r:id="rId150"/>
      <w:footerReference w:type="default" r:id="rId151"/>
      <w:headerReference w:type="first" r:id="rId152"/>
      <w:footerReference w:type="first" r:id="rId153"/>
      <w:pgSz w:w="11906" w:h="16838"/>
      <w:pgMar w:top="1464" w:right="1414" w:bottom="1421" w:left="1416" w:header="708" w:footer="7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60B" w:rsidRDefault="008F460B">
      <w:pPr>
        <w:spacing w:after="0" w:line="240" w:lineRule="auto"/>
      </w:pPr>
      <w:r>
        <w:separator/>
      </w:r>
    </w:p>
  </w:endnote>
  <w:endnote w:type="continuationSeparator" w:id="0">
    <w:p w:rsidR="008F460B" w:rsidRDefault="008F4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19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31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19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5166A">
      <w:rPr>
        <w:noProof/>
      </w:rPr>
      <w:t>48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t xml:space="preserve"> </w: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19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31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t xml:space="preserve"> </w: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31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t xml:space="preserve"> </w: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5166A">
      <w:rPr>
        <w:noProof/>
      </w:rPr>
      <w:t>57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t xml:space="preserve"> </w: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5166A">
      <w:rPr>
        <w:noProof/>
      </w:rPr>
      <w:t>51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t xml:space="preserve"> </w: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31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t xml:space="preserve"> </w: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5166A">
      <w:rPr>
        <w:noProof/>
      </w:rPr>
      <w:t>65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31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7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rPr>
        <w:i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7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5166A">
      <w:rPr>
        <w:noProof/>
      </w:rPr>
      <w:t>21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rPr>
        <w:i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0" w:line="259" w:lineRule="auto"/>
      <w:ind w:left="0" w:right="7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</w:t>
    </w:r>
  </w:p>
  <w:p w:rsidR="00071B02" w:rsidRDefault="008F460B">
    <w:pPr>
      <w:spacing w:after="0" w:line="259" w:lineRule="auto"/>
      <w:ind w:left="0" w:firstLine="0"/>
      <w:jc w:val="left"/>
    </w:pPr>
    <w:r>
      <w:rPr>
        <w:i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60B" w:rsidRDefault="008F460B">
      <w:pPr>
        <w:spacing w:after="31" w:line="259" w:lineRule="auto"/>
        <w:ind w:left="0" w:firstLine="0"/>
        <w:jc w:val="left"/>
      </w:pPr>
      <w:r>
        <w:separator/>
      </w:r>
    </w:p>
  </w:footnote>
  <w:footnote w:type="continuationSeparator" w:id="0">
    <w:p w:rsidR="008F460B" w:rsidRDefault="008F460B">
      <w:pPr>
        <w:spacing w:after="31" w:line="259" w:lineRule="auto"/>
        <w:ind w:left="0" w:firstLine="0"/>
        <w:jc w:val="left"/>
      </w:pPr>
      <w:r>
        <w:continuationSeparator/>
      </w:r>
    </w:p>
  </w:footnote>
  <w:footnote w:id="1">
    <w:p w:rsidR="00071B02" w:rsidRDefault="008F460B">
      <w:pPr>
        <w:pStyle w:val="footnotedescription"/>
        <w:spacing w:after="31" w:line="259" w:lineRule="auto"/>
        <w:ind w:right="0"/>
        <w:jc w:val="left"/>
      </w:pPr>
      <w:r>
        <w:rPr>
          <w:rStyle w:val="footnotemark"/>
        </w:rPr>
        <w:footnoteRef/>
      </w:r>
      <w:r>
        <w:t xml:space="preserve"> </w:t>
      </w:r>
      <w:r>
        <w:t xml:space="preserve">Spracovanej na základe uznesenia Národnej rady Slovenskej republiky č. 374 z 13. decembra 2012 </w:t>
      </w:r>
    </w:p>
  </w:footnote>
  <w:footnote w:id="2">
    <w:p w:rsidR="00071B02" w:rsidRDefault="008F460B">
      <w:pPr>
        <w:pStyle w:val="footnotedescription"/>
        <w:ind w:right="191"/>
      </w:pPr>
      <w:r>
        <w:rPr>
          <w:rStyle w:val="footnotemark"/>
        </w:rPr>
        <w:footnoteRef/>
      </w:r>
      <w:r>
        <w:t xml:space="preserve"> Predmetom Správy bola problematika školstva zastrešovaná na centrálnej úrovni MŠVVŠ SR. Správa sa nezaoberala policajnými školami a školami požiarnej ochrany,</w:t>
      </w:r>
      <w:r>
        <w:t xml:space="preserve"> ktoré sú v pôsobnosti Ministerstva vnútra SR, ani štátnymi vysokými školami v pôsobnosti Ministerstva vnútra SR, Ministerstva obrany SR a Ministerstva zdravotníctva SR. Správa sa nezaoberala ani problematikou ďalšieho vzdelávania (s výnimkou ďalšieho vzde</w:t>
      </w:r>
      <w:r>
        <w:t xml:space="preserve">lávania učiteľov). </w:t>
      </w:r>
    </w:p>
  </w:footnote>
  <w:footnote w:id="3">
    <w:p w:rsidR="00071B02" w:rsidRDefault="008F460B">
      <w:pPr>
        <w:pStyle w:val="footnotedescription"/>
        <w:spacing w:after="26" w:line="259" w:lineRule="auto"/>
        <w:ind w:right="0"/>
        <w:jc w:val="left"/>
      </w:pPr>
      <w:r>
        <w:rPr>
          <w:rStyle w:val="footnotemark"/>
        </w:rPr>
        <w:footnoteRef/>
      </w:r>
      <w:r>
        <w:t xml:space="preserve"> Učiace sa Slovensko s odkazom na http://www.radavladylp.gov.sk/data/att/3793_subor.rtf </w:t>
      </w:r>
    </w:p>
  </w:footnote>
  <w:footnote w:id="4">
    <w:p w:rsidR="00071B02" w:rsidRDefault="008F460B">
      <w:pPr>
        <w:pStyle w:val="footnotedescription"/>
        <w:spacing w:line="259" w:lineRule="auto"/>
        <w:ind w:right="0"/>
        <w:jc w:val="left"/>
      </w:pPr>
      <w:r>
        <w:rPr>
          <w:rStyle w:val="footnotemark"/>
        </w:rPr>
        <w:footnoteRef/>
      </w:r>
      <w:r>
        <w:t xml:space="preserve"> Zákon č. 245/2008 Z. z. - Zákon o výchove a vzdelávaní (školský zákon) </w:t>
      </w:r>
    </w:p>
  </w:footnote>
  <w:footnote w:id="5">
    <w:p w:rsidR="00071B02" w:rsidRDefault="008F460B">
      <w:pPr>
        <w:pStyle w:val="footnotedescription"/>
        <w:spacing w:line="276" w:lineRule="auto"/>
        <w:ind w:right="190"/>
      </w:pPr>
      <w:r>
        <w:rPr>
          <w:rStyle w:val="footnotemark"/>
        </w:rPr>
        <w:footnoteRef/>
      </w:r>
      <w:r>
        <w:t xml:space="preserve"> Pojem regionálne školstvo nie je definovaný v medzinárodnej terminológ</w:t>
      </w:r>
      <w:r>
        <w:t xml:space="preserve">ii, na Slovensku je však natoľko zaužívaný pre označenie predprimárneho, primárneho a sekundárneho školstva, že s ním pracujú aj základné dokumenty, aj samotný NPRVV.   </w:t>
      </w:r>
    </w:p>
  </w:footnote>
  <w:footnote w:id="6">
    <w:p w:rsidR="00071B02" w:rsidRDefault="008F460B">
      <w:pPr>
        <w:pStyle w:val="footnotedescription"/>
        <w:spacing w:line="246" w:lineRule="auto"/>
        <w:ind w:right="684"/>
        <w:jc w:val="left"/>
      </w:pPr>
      <w:r>
        <w:rPr>
          <w:rStyle w:val="footnotemark"/>
        </w:rPr>
        <w:footnoteRef/>
      </w:r>
      <w:r>
        <w:t xml:space="preserve"> European Commission/EACEA/Eurydice, 2017. </w:t>
      </w:r>
      <w:r>
        <w:rPr>
          <w:i/>
        </w:rPr>
        <w:t>The Structure of the European Education Sy</w:t>
      </w:r>
      <w:r>
        <w:rPr>
          <w:i/>
        </w:rPr>
        <w:t xml:space="preserve">stems 2017/18: Schematic Diagrams. </w:t>
      </w:r>
      <w:r>
        <w:t xml:space="preserve">Eurydice Facts and Figures. Luxembourg: Publications Office of the European Union. ISBN 978-92-9492-626-5 ISSN 2443-5333 doi:10.2797/2705 EC-AL-17-001-EN-N </w:t>
      </w:r>
    </w:p>
    <w:p w:rsidR="00071B02" w:rsidRDefault="008F460B">
      <w:pPr>
        <w:pStyle w:val="footnotedescription"/>
        <w:spacing w:line="259" w:lineRule="auto"/>
        <w:ind w:right="0"/>
        <w:jc w:val="left"/>
      </w:pPr>
      <w:r>
        <w:t xml:space="preserve"> </w:t>
      </w:r>
    </w:p>
  </w:footnote>
  <w:footnote w:id="7">
    <w:p w:rsidR="00071B02" w:rsidRDefault="008F460B">
      <w:pPr>
        <w:pStyle w:val="footnotedescription"/>
        <w:spacing w:after="30" w:line="259" w:lineRule="auto"/>
        <w:ind w:right="0"/>
        <w:jc w:val="left"/>
      </w:pPr>
      <w:r>
        <w:rPr>
          <w:rStyle w:val="footnotemark"/>
        </w:rPr>
        <w:footnoteRef/>
      </w:r>
      <w:r>
        <w:t xml:space="preserve"> B. Šprocha, Reprodukcia rómskeho obyvateľstva na Slovensku s</w:t>
      </w:r>
      <w:r>
        <w:t xml:space="preserve"> prognóza jeho populačného vývoja, </w:t>
      </w:r>
    </w:p>
    <w:p w:rsidR="00071B02" w:rsidRDefault="008F460B">
      <w:pPr>
        <w:pStyle w:val="footnotedescription"/>
        <w:spacing w:line="259" w:lineRule="auto"/>
        <w:ind w:right="0"/>
        <w:jc w:val="left"/>
      </w:pPr>
      <w:r>
        <w:t xml:space="preserve">Prognostický ústav SAV a Výskumné demografické centrum, INFOSTAT, Bratislava 2014 </w:t>
      </w:r>
    </w:p>
  </w:footnote>
  <w:footnote w:id="8">
    <w:p w:rsidR="00071B02" w:rsidRDefault="008F460B">
      <w:pPr>
        <w:pStyle w:val="footnotedescription"/>
        <w:spacing w:line="288" w:lineRule="auto"/>
        <w:ind w:right="204"/>
      </w:pPr>
      <w:r>
        <w:rPr>
          <w:rStyle w:val="footnotemark"/>
        </w:rPr>
        <w:footnoteRef/>
      </w:r>
      <w:r>
        <w:t xml:space="preserve"> Orientácia na rozvíjanie individuálneho potenciálu každého učiaceho sa (princíp individualizácie) je pedagogický a metodologický princí</w:t>
      </w:r>
      <w:r>
        <w:t xml:space="preserve">p, ktorý nemá nič spoločné s etickým individualizmom a osobným egoizmom. Naopak, zahŕňa formovanie prosociálnych kvalít a kompetencií. </w:t>
      </w:r>
    </w:p>
  </w:footnote>
  <w:footnote w:id="9">
    <w:p w:rsidR="00071B02" w:rsidRDefault="008F460B">
      <w:pPr>
        <w:pStyle w:val="footnotedescription"/>
        <w:spacing w:line="259" w:lineRule="auto"/>
        <w:ind w:right="0"/>
        <w:jc w:val="left"/>
      </w:pPr>
      <w:r>
        <w:rPr>
          <w:rStyle w:val="footnotemark"/>
        </w:rPr>
        <w:footnoteRef/>
      </w:r>
      <w:r>
        <w:t xml:space="preserve"> Spracované podľa Klein, V., Asistent učiteľa v procese edukácie rómskych žiakov, FSVaZ UKF, Nitra 2008. </w:t>
      </w:r>
    </w:p>
  </w:footnote>
  <w:footnote w:id="10">
    <w:p w:rsidR="00071B02" w:rsidRDefault="008F460B">
      <w:pPr>
        <w:pStyle w:val="footnotedescription"/>
        <w:spacing w:line="278" w:lineRule="auto"/>
        <w:ind w:right="196"/>
      </w:pPr>
      <w:r>
        <w:rPr>
          <w:rStyle w:val="footnotemark"/>
        </w:rPr>
        <w:footnoteRef/>
      </w:r>
      <w:r>
        <w:t xml:space="preserve"> Súvislosti </w:t>
      </w:r>
      <w:r>
        <w:t xml:space="preserve">a opatrenia uvádzané v texte tohto cieľa sa primerane vzťahujú na každého človeka žijúceho v extrémnej chudobe, za znevýhodnených podmienok alebo v sociálne vylúčenom spoločenstve, teda nie iba na Rómov, aj keď to v texte, alebo v odvolávkach môže byť tak </w:t>
      </w:r>
      <w:r>
        <w:t xml:space="preserve">formulované. Pozývame čitateľa k otvorenému uvažovaniu, bez predsudkov a stereotypov.  </w:t>
      </w:r>
    </w:p>
  </w:footnote>
  <w:footnote w:id="11">
    <w:p w:rsidR="00071B02" w:rsidRDefault="008F460B">
      <w:pPr>
        <w:pStyle w:val="footnotedescription"/>
        <w:spacing w:line="284" w:lineRule="auto"/>
        <w:ind w:right="203"/>
      </w:pPr>
      <w:r>
        <w:rPr>
          <w:rStyle w:val="footnotemark"/>
        </w:rPr>
        <w:footnoteRef/>
      </w:r>
      <w:r>
        <w:t xml:space="preserve"> Súvislosti a opatrenia uvádzané v texte dokumentu sa primerane vzťahujú na každého človeka žijúceho v extrémnej chudobe, za znevýhodnených podmienok alebo v sociálne </w:t>
      </w:r>
      <w:r>
        <w:t xml:space="preserve">vylúčenom spoločenstve, teda nie iba na Rómov. </w:t>
      </w:r>
    </w:p>
  </w:footnote>
  <w:footnote w:id="12">
    <w:p w:rsidR="00071B02" w:rsidRDefault="008F460B">
      <w:pPr>
        <w:pStyle w:val="footnotedescription"/>
        <w:spacing w:line="282" w:lineRule="auto"/>
        <w:ind w:right="200"/>
      </w:pPr>
      <w:r>
        <w:rPr>
          <w:rStyle w:val="footnotemark"/>
        </w:rPr>
        <w:footnoteRef/>
      </w:r>
      <w:r>
        <w:t xml:space="preserve"> Prvým systémovým krokom v danom smere bolo už v roku 2017 novelizácia školského zákona, ktorou sa jednoznačne určili kvóty pre žiakov osemročných gymnázií spolu s prechodným obdobím pre bratislavský samospr</w:t>
      </w:r>
      <w:r>
        <w:t xml:space="preserve">ávny kraj. Ďalším krokom bola novela školského zákona predložená do NR SR v máji 2018 zameraná na zmenu systému určovania počtov tried osemročných gymnázií. </w:t>
      </w:r>
    </w:p>
  </w:footnote>
  <w:footnote w:id="13">
    <w:p w:rsidR="00071B02" w:rsidRDefault="008F460B">
      <w:pPr>
        <w:pStyle w:val="footnotedescription"/>
        <w:spacing w:line="295" w:lineRule="auto"/>
        <w:ind w:right="0"/>
      </w:pPr>
      <w:r>
        <w:rPr>
          <w:rStyle w:val="footnotemark"/>
        </w:rPr>
        <w:footnoteRef/>
      </w:r>
      <w:r>
        <w:t xml:space="preserve"> </w:t>
      </w:r>
      <w:r>
        <w:rPr>
          <w:vertAlign w:val="superscript"/>
        </w:rPr>
        <w:t>)</w:t>
      </w:r>
      <w:r>
        <w:t xml:space="preserve"> Za absolventa - uchádzača o zamestnanie sa považujú len absolventi z dennej formy štúdia a len</w:t>
      </w:r>
      <w:r>
        <w:t xml:space="preserve"> do veku 25 rokov. Absolvent mohol ukončiť štúdium aj v predchádzajúcom roku.  </w:t>
      </w:r>
    </w:p>
  </w:footnote>
  <w:footnote w:id="14">
    <w:p w:rsidR="00071B02" w:rsidRDefault="008F460B">
      <w:pPr>
        <w:pStyle w:val="footnotedescription"/>
        <w:spacing w:line="284" w:lineRule="auto"/>
      </w:pPr>
      <w:r>
        <w:rPr>
          <w:rStyle w:val="footnotemark"/>
        </w:rPr>
        <w:footnoteRef/>
      </w:r>
      <w:r>
        <w:t xml:space="preserve"> V súvislosti s financovaním Správa o stave školstva tiež uvádza, že podľa výskumnej štúdie spoločnosti McKinsey&amp;Company patrí slovenské školstvo vo svojej cenovej kategórii v</w:t>
      </w:r>
      <w:r>
        <w:t xml:space="preserve">ychádzajúcej z objemu finančných prostriedkov na žiaka medzi najefektívnejšie na svete.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456" w:line="259" w:lineRule="auto"/>
      <w:ind w:left="0" w:firstLine="0"/>
      <w:jc w:val="left"/>
    </w:pPr>
    <w:r>
      <w:t xml:space="preserve"> </w:t>
    </w:r>
  </w:p>
  <w:p w:rsidR="00071B02" w:rsidRDefault="008F460B">
    <w:pPr>
      <w:spacing w:after="0" w:line="259" w:lineRule="auto"/>
      <w:ind w:left="36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8F460B">
    <w:pPr>
      <w:spacing w:after="456" w:line="259" w:lineRule="auto"/>
      <w:ind w:left="0" w:firstLine="0"/>
      <w:jc w:val="left"/>
    </w:pPr>
    <w:r>
      <w:t xml:space="preserve"> </w:t>
    </w:r>
  </w:p>
  <w:p w:rsidR="00071B02" w:rsidRDefault="008F460B">
    <w:pPr>
      <w:spacing w:after="0" w:line="259" w:lineRule="auto"/>
      <w:ind w:left="36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02" w:rsidRDefault="00071B02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722C"/>
    <w:multiLevelType w:val="hybridMultilevel"/>
    <w:tmpl w:val="894ED982"/>
    <w:lvl w:ilvl="0" w:tplc="EF90EE0C">
      <w:start w:val="1"/>
      <w:numFmt w:val="bullet"/>
      <w:lvlText w:val="•"/>
      <w:lvlJc w:val="left"/>
      <w:pPr>
        <w:ind w:left="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B44BAE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5AA1B0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C0314C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A0681E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F49DE2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A40670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F8BBDE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5AE156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035CB8"/>
    <w:multiLevelType w:val="hybridMultilevel"/>
    <w:tmpl w:val="9030F962"/>
    <w:lvl w:ilvl="0" w:tplc="AA1A2B4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94858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D097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E214F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845E9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C4CC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C6B94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CC82C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FEDCA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A86CE4"/>
    <w:multiLevelType w:val="hybridMultilevel"/>
    <w:tmpl w:val="78DE5BCE"/>
    <w:lvl w:ilvl="0" w:tplc="747A03C2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40DB46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BAEDB2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C62B8C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12364E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BC6634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D09364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6C8A94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0A597C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70269B"/>
    <w:multiLevelType w:val="hybridMultilevel"/>
    <w:tmpl w:val="6834090C"/>
    <w:lvl w:ilvl="0" w:tplc="7BB2F1D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D478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A4CA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1A77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60F8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244A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465C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A26D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A8AF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FF0106"/>
    <w:multiLevelType w:val="hybridMultilevel"/>
    <w:tmpl w:val="C2688D4E"/>
    <w:lvl w:ilvl="0" w:tplc="778E224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C6B13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F63D5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C6E4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B4422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424556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56446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6A187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0C5E9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D47963"/>
    <w:multiLevelType w:val="hybridMultilevel"/>
    <w:tmpl w:val="59B85146"/>
    <w:lvl w:ilvl="0" w:tplc="41BADEEC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A6BD50">
      <w:start w:val="1"/>
      <w:numFmt w:val="bullet"/>
      <w:lvlText w:val="o"/>
      <w:lvlJc w:val="left"/>
      <w:pPr>
        <w:ind w:left="12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FC9B3C">
      <w:start w:val="1"/>
      <w:numFmt w:val="bullet"/>
      <w:lvlText w:val="▪"/>
      <w:lvlJc w:val="left"/>
      <w:pPr>
        <w:ind w:left="19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6EBAA8">
      <w:start w:val="1"/>
      <w:numFmt w:val="bullet"/>
      <w:lvlText w:val="•"/>
      <w:lvlJc w:val="left"/>
      <w:pPr>
        <w:ind w:left="26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04D9BA">
      <w:start w:val="1"/>
      <w:numFmt w:val="bullet"/>
      <w:lvlText w:val="o"/>
      <w:lvlJc w:val="left"/>
      <w:pPr>
        <w:ind w:left="33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62409E">
      <w:start w:val="1"/>
      <w:numFmt w:val="bullet"/>
      <w:lvlText w:val="▪"/>
      <w:lvlJc w:val="left"/>
      <w:pPr>
        <w:ind w:left="41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5A68BE">
      <w:start w:val="1"/>
      <w:numFmt w:val="bullet"/>
      <w:lvlText w:val="•"/>
      <w:lvlJc w:val="left"/>
      <w:pPr>
        <w:ind w:left="48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1CF348">
      <w:start w:val="1"/>
      <w:numFmt w:val="bullet"/>
      <w:lvlText w:val="o"/>
      <w:lvlJc w:val="left"/>
      <w:pPr>
        <w:ind w:left="5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663686">
      <w:start w:val="1"/>
      <w:numFmt w:val="bullet"/>
      <w:lvlText w:val="▪"/>
      <w:lvlJc w:val="left"/>
      <w:pPr>
        <w:ind w:left="6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FD2648"/>
    <w:multiLevelType w:val="hybridMultilevel"/>
    <w:tmpl w:val="8710CFD6"/>
    <w:lvl w:ilvl="0" w:tplc="F81A82B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1E90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880BC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182C1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945A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6CFA3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5A08E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EC05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FED5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F15101"/>
    <w:multiLevelType w:val="hybridMultilevel"/>
    <w:tmpl w:val="989410C8"/>
    <w:lvl w:ilvl="0" w:tplc="0DC4751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5E272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426E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0C30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4876E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929AA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2EA2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1048F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D23B3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5894D7C"/>
    <w:multiLevelType w:val="hybridMultilevel"/>
    <w:tmpl w:val="82D00794"/>
    <w:lvl w:ilvl="0" w:tplc="3716A86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0C246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DED1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3008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E89DE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0C15B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F2AC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42934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48D0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6B26935"/>
    <w:multiLevelType w:val="hybridMultilevel"/>
    <w:tmpl w:val="D1DA187A"/>
    <w:lvl w:ilvl="0" w:tplc="52F2758C">
      <w:start w:val="1"/>
      <w:numFmt w:val="bullet"/>
      <w:lvlText w:val=""/>
      <w:lvlJc w:val="left"/>
      <w:pPr>
        <w:ind w:left="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0537A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222A8E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AE9ADC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9817A8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3CB74A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60792E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6CC158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BE6868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88149F3"/>
    <w:multiLevelType w:val="hybridMultilevel"/>
    <w:tmpl w:val="73D2A552"/>
    <w:lvl w:ilvl="0" w:tplc="E89C4D1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A4D07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5613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BCC2A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F28E5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5C770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20AE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1CC3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5A2E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96E4422"/>
    <w:multiLevelType w:val="hybridMultilevel"/>
    <w:tmpl w:val="1D468586"/>
    <w:lvl w:ilvl="0" w:tplc="0158D4A0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5481D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50B62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CA130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36B14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7C6A2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425AE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046FE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68E27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16A0D60"/>
    <w:multiLevelType w:val="hybridMultilevel"/>
    <w:tmpl w:val="BF442C88"/>
    <w:lvl w:ilvl="0" w:tplc="BD4A7430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781EB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2E57F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8447D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EC4BC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F0732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70FE6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66D3A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94CFE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7BB7590"/>
    <w:multiLevelType w:val="hybridMultilevel"/>
    <w:tmpl w:val="E0327440"/>
    <w:lvl w:ilvl="0" w:tplc="2A1824A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24BE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22D8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F423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3047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36DE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B820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AC1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2690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D764EA9"/>
    <w:multiLevelType w:val="hybridMultilevel"/>
    <w:tmpl w:val="EB3E3C0C"/>
    <w:lvl w:ilvl="0" w:tplc="232226B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A415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B8417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8632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16CC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86700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ECC8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9AAD1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0638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5862409"/>
    <w:multiLevelType w:val="hybridMultilevel"/>
    <w:tmpl w:val="53B0DA58"/>
    <w:lvl w:ilvl="0" w:tplc="11CC3B7C">
      <w:start w:val="1"/>
      <w:numFmt w:val="bullet"/>
      <w:lvlText w:val="•"/>
      <w:lvlJc w:val="left"/>
      <w:pPr>
        <w:ind w:left="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3425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3E66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3278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70B54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161DD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BC696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ECD1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02AA3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9C85B31"/>
    <w:multiLevelType w:val="hybridMultilevel"/>
    <w:tmpl w:val="7CD8085A"/>
    <w:lvl w:ilvl="0" w:tplc="E71CBE9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E26D2C">
      <w:start w:val="1"/>
      <w:numFmt w:val="lowerLetter"/>
      <w:lvlText w:val="%2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F61620">
      <w:start w:val="1"/>
      <w:numFmt w:val="lowerRoman"/>
      <w:lvlText w:val="%3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0E9D36">
      <w:start w:val="1"/>
      <w:numFmt w:val="decimal"/>
      <w:lvlText w:val="%4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664986">
      <w:start w:val="1"/>
      <w:numFmt w:val="lowerLetter"/>
      <w:lvlText w:val="%5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28955C">
      <w:start w:val="1"/>
      <w:numFmt w:val="lowerRoman"/>
      <w:lvlText w:val="%6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F40BF0">
      <w:start w:val="1"/>
      <w:numFmt w:val="decimal"/>
      <w:lvlText w:val="%7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8A83BA">
      <w:start w:val="1"/>
      <w:numFmt w:val="lowerLetter"/>
      <w:lvlText w:val="%8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BE23E6">
      <w:start w:val="1"/>
      <w:numFmt w:val="lowerRoman"/>
      <w:lvlText w:val="%9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EB72B9C"/>
    <w:multiLevelType w:val="hybridMultilevel"/>
    <w:tmpl w:val="65A839AC"/>
    <w:lvl w:ilvl="0" w:tplc="F6B89BF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BEFCEE">
      <w:start w:val="1"/>
      <w:numFmt w:val="lowerLetter"/>
      <w:lvlText w:val="%2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780820">
      <w:start w:val="1"/>
      <w:numFmt w:val="lowerRoman"/>
      <w:lvlText w:val="%3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3C9C48">
      <w:start w:val="1"/>
      <w:numFmt w:val="decimal"/>
      <w:lvlText w:val="%4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0A8146">
      <w:start w:val="1"/>
      <w:numFmt w:val="lowerLetter"/>
      <w:lvlText w:val="%5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806EDA">
      <w:start w:val="1"/>
      <w:numFmt w:val="lowerRoman"/>
      <w:lvlText w:val="%6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40F2C4">
      <w:start w:val="1"/>
      <w:numFmt w:val="decimal"/>
      <w:lvlText w:val="%7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CEFCDA">
      <w:start w:val="1"/>
      <w:numFmt w:val="lowerLetter"/>
      <w:lvlText w:val="%8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3C6E7C">
      <w:start w:val="1"/>
      <w:numFmt w:val="lowerRoman"/>
      <w:lvlText w:val="%9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79C672A"/>
    <w:multiLevelType w:val="hybridMultilevel"/>
    <w:tmpl w:val="FA34595A"/>
    <w:lvl w:ilvl="0" w:tplc="346EF178">
      <w:start w:val="1"/>
      <w:numFmt w:val="lowerRoman"/>
      <w:lvlText w:val="(%1)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C0823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4A87E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0E8C3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2CA7E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6A66E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1A58A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50CBD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6CA6B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3A80D72"/>
    <w:multiLevelType w:val="hybridMultilevel"/>
    <w:tmpl w:val="0C42C598"/>
    <w:lvl w:ilvl="0" w:tplc="FF1ECC9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9ED97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64BAE8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4811C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BE38A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60E3C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26D18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3C2EB2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C2D73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BD30A0F"/>
    <w:multiLevelType w:val="hybridMultilevel"/>
    <w:tmpl w:val="3AC64AC2"/>
    <w:lvl w:ilvl="0" w:tplc="8B0811BE">
      <w:start w:val="1"/>
      <w:numFmt w:val="bullet"/>
      <w:lvlText w:val=""/>
      <w:lvlJc w:val="left"/>
      <w:pPr>
        <w:ind w:left="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68404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72CC04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22535E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16BB2A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2C1D96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4E6582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A493DE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9841DC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FAA3DE1"/>
    <w:multiLevelType w:val="hybridMultilevel"/>
    <w:tmpl w:val="2738FE44"/>
    <w:lvl w:ilvl="0" w:tplc="26CCA5E8">
      <w:start w:val="1"/>
      <w:numFmt w:val="upp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AEAA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F213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0888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D4DF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7247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3EA8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82C1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7C2B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2216099"/>
    <w:multiLevelType w:val="hybridMultilevel"/>
    <w:tmpl w:val="2F08A914"/>
    <w:lvl w:ilvl="0" w:tplc="E37C94B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D4545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18B52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8BAE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24B44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36538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46289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F200F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EC78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355091E"/>
    <w:multiLevelType w:val="hybridMultilevel"/>
    <w:tmpl w:val="DFD201D4"/>
    <w:lvl w:ilvl="0" w:tplc="6DBAE0D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7228C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C4276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2F33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A205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E4EBA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9E5BB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CEFAA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B61FA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A3F39BF"/>
    <w:multiLevelType w:val="hybridMultilevel"/>
    <w:tmpl w:val="118CAF50"/>
    <w:lvl w:ilvl="0" w:tplc="FDF0AB6A">
      <w:start w:val="1"/>
      <w:numFmt w:val="bullet"/>
      <w:lvlText w:val=""/>
      <w:lvlJc w:val="left"/>
      <w:pPr>
        <w:ind w:left="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EE9FE8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62BF14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4EB7CA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024FEA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3C3B02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3C62C2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B6A532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1C11E4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BE159B4"/>
    <w:multiLevelType w:val="hybridMultilevel"/>
    <w:tmpl w:val="2C6C8800"/>
    <w:lvl w:ilvl="0" w:tplc="F34E968E">
      <w:start w:val="5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E6F92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A0738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F80EE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4CA89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88A72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58FAD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E4089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52D28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3D16A0A"/>
    <w:multiLevelType w:val="hybridMultilevel"/>
    <w:tmpl w:val="B21C4B96"/>
    <w:lvl w:ilvl="0" w:tplc="1B0293C4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D4F5BC">
      <w:start w:val="1"/>
      <w:numFmt w:val="bullet"/>
      <w:lvlText w:val="o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427294">
      <w:start w:val="1"/>
      <w:numFmt w:val="bullet"/>
      <w:lvlText w:val="▪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6287E4">
      <w:start w:val="1"/>
      <w:numFmt w:val="bullet"/>
      <w:lvlText w:val="•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E6C3D8">
      <w:start w:val="1"/>
      <w:numFmt w:val="bullet"/>
      <w:lvlText w:val="o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ECD9AA">
      <w:start w:val="1"/>
      <w:numFmt w:val="bullet"/>
      <w:lvlText w:val="▪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826CA6">
      <w:start w:val="1"/>
      <w:numFmt w:val="bullet"/>
      <w:lvlText w:val="•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4CF96A">
      <w:start w:val="1"/>
      <w:numFmt w:val="bullet"/>
      <w:lvlText w:val="o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70E4AE">
      <w:start w:val="1"/>
      <w:numFmt w:val="bullet"/>
      <w:lvlText w:val="▪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4C02FC9"/>
    <w:multiLevelType w:val="hybridMultilevel"/>
    <w:tmpl w:val="D0F00C26"/>
    <w:lvl w:ilvl="0" w:tplc="7A324528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DA37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12AAE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D07C1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6032C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B8473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60512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58AED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C82CB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93A7F9D"/>
    <w:multiLevelType w:val="hybridMultilevel"/>
    <w:tmpl w:val="DA52FBB6"/>
    <w:lvl w:ilvl="0" w:tplc="1BBAF05C">
      <w:start w:val="1"/>
      <w:numFmt w:val="decimal"/>
      <w:lvlText w:val="%1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F6595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BC335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BAA82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A6B52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5EDC6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40971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D07CC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1CBCF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E857B81"/>
    <w:multiLevelType w:val="hybridMultilevel"/>
    <w:tmpl w:val="A662AF92"/>
    <w:lvl w:ilvl="0" w:tplc="1046B62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F0037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AC63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A858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4ACB1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EAA57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5067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84995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2A2B7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21"/>
  </w:num>
  <w:num w:numId="3">
    <w:abstractNumId w:val="15"/>
  </w:num>
  <w:num w:numId="4">
    <w:abstractNumId w:val="10"/>
  </w:num>
  <w:num w:numId="5">
    <w:abstractNumId w:val="26"/>
  </w:num>
  <w:num w:numId="6">
    <w:abstractNumId w:val="18"/>
  </w:num>
  <w:num w:numId="7">
    <w:abstractNumId w:val="29"/>
  </w:num>
  <w:num w:numId="8">
    <w:abstractNumId w:val="22"/>
  </w:num>
  <w:num w:numId="9">
    <w:abstractNumId w:val="23"/>
  </w:num>
  <w:num w:numId="10">
    <w:abstractNumId w:val="7"/>
  </w:num>
  <w:num w:numId="11">
    <w:abstractNumId w:val="13"/>
  </w:num>
  <w:num w:numId="12">
    <w:abstractNumId w:val="3"/>
  </w:num>
  <w:num w:numId="13">
    <w:abstractNumId w:val="19"/>
  </w:num>
  <w:num w:numId="14">
    <w:abstractNumId w:val="4"/>
  </w:num>
  <w:num w:numId="15">
    <w:abstractNumId w:val="11"/>
  </w:num>
  <w:num w:numId="16">
    <w:abstractNumId w:val="27"/>
  </w:num>
  <w:num w:numId="17">
    <w:abstractNumId w:val="0"/>
  </w:num>
  <w:num w:numId="18">
    <w:abstractNumId w:val="8"/>
  </w:num>
  <w:num w:numId="19">
    <w:abstractNumId w:val="6"/>
  </w:num>
  <w:num w:numId="20">
    <w:abstractNumId w:val="14"/>
  </w:num>
  <w:num w:numId="21">
    <w:abstractNumId w:val="1"/>
  </w:num>
  <w:num w:numId="22">
    <w:abstractNumId w:val="5"/>
  </w:num>
  <w:num w:numId="23">
    <w:abstractNumId w:val="9"/>
  </w:num>
  <w:num w:numId="24">
    <w:abstractNumId w:val="24"/>
  </w:num>
  <w:num w:numId="25">
    <w:abstractNumId w:val="20"/>
  </w:num>
  <w:num w:numId="26">
    <w:abstractNumId w:val="2"/>
  </w:num>
  <w:num w:numId="27">
    <w:abstractNumId w:val="16"/>
  </w:num>
  <w:num w:numId="28">
    <w:abstractNumId w:val="17"/>
  </w:num>
  <w:num w:numId="29">
    <w:abstractNumId w:val="28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B02"/>
    <w:rsid w:val="00071B02"/>
    <w:rsid w:val="0025166A"/>
    <w:rsid w:val="008F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47095"/>
  <w15:docId w15:val="{F7CF30F6-3FCD-4DD8-BF9B-28DF4F66A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pacing w:after="5" w:line="306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spacing w:after="259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159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Nadpis3">
    <w:name w:val="heading 3"/>
    <w:next w:val="Normlny"/>
    <w:link w:val="Nadpis3Char"/>
    <w:uiPriority w:val="9"/>
    <w:unhideWhenUsed/>
    <w:qFormat/>
    <w:pPr>
      <w:keepNext/>
      <w:keepLines/>
      <w:spacing w:after="67" w:line="267" w:lineRule="auto"/>
      <w:ind w:left="10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4">
    <w:name w:val="heading 4"/>
    <w:next w:val="Normlny"/>
    <w:link w:val="Nadpis4Char"/>
    <w:uiPriority w:val="9"/>
    <w:unhideWhenUsed/>
    <w:qFormat/>
    <w:pPr>
      <w:keepNext/>
      <w:keepLines/>
      <w:spacing w:after="179"/>
      <w:ind w:left="10" w:hanging="10"/>
      <w:outlineLvl w:val="3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footnotedescription">
    <w:name w:val="footnote description"/>
    <w:next w:val="Normlny"/>
    <w:link w:val="footnotedescriptionChar"/>
    <w:hidden/>
    <w:pPr>
      <w:spacing w:after="0" w:line="272" w:lineRule="auto"/>
      <w:ind w:right="5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dpis4Char">
    <w:name w:val="Nadpis 4 Char"/>
    <w:link w:val="Nadpis4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paragraph" w:styleId="Obsah1">
    <w:name w:val="toc 1"/>
    <w:hidden/>
    <w:pPr>
      <w:spacing w:after="58" w:line="306" w:lineRule="auto"/>
      <w:ind w:left="25" w:right="2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Obsah2">
    <w:name w:val="toc 2"/>
    <w:hidden/>
    <w:pPr>
      <w:spacing w:after="54" w:line="306" w:lineRule="auto"/>
      <w:ind w:left="250" w:right="2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Obsah3">
    <w:name w:val="toc 3"/>
    <w:hidden/>
    <w:pPr>
      <w:spacing w:after="56" w:line="306" w:lineRule="auto"/>
      <w:ind w:left="505" w:right="2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6.xml"/><Relationship Id="rId21" Type="http://schemas.openxmlformats.org/officeDocument/2006/relationships/image" Target="media/image3.jpg"/><Relationship Id="rId84" Type="http://schemas.openxmlformats.org/officeDocument/2006/relationships/image" Target="media/image10.jpg"/><Relationship Id="rId89" Type="http://schemas.openxmlformats.org/officeDocument/2006/relationships/header" Target="header7.xml"/><Relationship Id="rId97" Type="http://schemas.openxmlformats.org/officeDocument/2006/relationships/image" Target="media/image15.jpg"/><Relationship Id="rId104" Type="http://schemas.openxmlformats.org/officeDocument/2006/relationships/footer" Target="footer12.xml"/><Relationship Id="rId112" Type="http://schemas.openxmlformats.org/officeDocument/2006/relationships/hyperlink" Target="http://www.ehea.info/" TargetMode="External"/><Relationship Id="rId120" Type="http://schemas.openxmlformats.org/officeDocument/2006/relationships/footer" Target="footer18.xml"/><Relationship Id="rId125" Type="http://schemas.openxmlformats.org/officeDocument/2006/relationships/image" Target="media/image21.jpg"/><Relationship Id="rId133" Type="http://schemas.openxmlformats.org/officeDocument/2006/relationships/header" Target="header21.xml"/><Relationship Id="rId138" Type="http://schemas.openxmlformats.org/officeDocument/2006/relationships/footer" Target="footer23.xml"/><Relationship Id="rId141" Type="http://schemas.openxmlformats.org/officeDocument/2006/relationships/image" Target="media/image25.png"/><Relationship Id="rId146" Type="http://schemas.openxmlformats.org/officeDocument/2006/relationships/header" Target="header27.xml"/><Relationship Id="rId154" Type="http://schemas.openxmlformats.org/officeDocument/2006/relationships/fontTable" Target="fontTable.xml"/><Relationship Id="rId7" Type="http://schemas.openxmlformats.org/officeDocument/2006/relationships/image" Target="media/image1.jpg"/><Relationship Id="rId92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07" Type="http://schemas.openxmlformats.org/officeDocument/2006/relationships/footer" Target="footer13.xml"/><Relationship Id="rId11" Type="http://schemas.openxmlformats.org/officeDocument/2006/relationships/footer" Target="footer1.xml"/><Relationship Id="rId79" Type="http://schemas.openxmlformats.org/officeDocument/2006/relationships/image" Target="media/image40.jpg"/><Relationship Id="rId87" Type="http://schemas.openxmlformats.org/officeDocument/2006/relationships/image" Target="media/image10.png"/><Relationship Id="rId102" Type="http://schemas.openxmlformats.org/officeDocument/2006/relationships/footer" Target="footer11.xml"/><Relationship Id="rId110" Type="http://schemas.openxmlformats.org/officeDocument/2006/relationships/footer" Target="footer15.xml"/><Relationship Id="rId115" Type="http://schemas.openxmlformats.org/officeDocument/2006/relationships/header" Target="header16.xml"/><Relationship Id="rId123" Type="http://schemas.openxmlformats.org/officeDocument/2006/relationships/image" Target="media/image19.jpg"/><Relationship Id="rId128" Type="http://schemas.openxmlformats.org/officeDocument/2006/relationships/image" Target="media/image24.jpg"/><Relationship Id="rId131" Type="http://schemas.openxmlformats.org/officeDocument/2006/relationships/footer" Target="footer19.xml"/><Relationship Id="rId136" Type="http://schemas.openxmlformats.org/officeDocument/2006/relationships/header" Target="header23.xml"/><Relationship Id="rId144" Type="http://schemas.openxmlformats.org/officeDocument/2006/relationships/footer" Target="footer25.xml"/><Relationship Id="rId149" Type="http://schemas.openxmlformats.org/officeDocument/2006/relationships/header" Target="header29.xml"/><Relationship Id="rId5" Type="http://schemas.openxmlformats.org/officeDocument/2006/relationships/footnotes" Target="footnotes.xml"/><Relationship Id="rId82" Type="http://schemas.openxmlformats.org/officeDocument/2006/relationships/image" Target="media/image8.jpg"/><Relationship Id="rId90" Type="http://schemas.openxmlformats.org/officeDocument/2006/relationships/header" Target="header8.xml"/><Relationship Id="rId95" Type="http://schemas.openxmlformats.org/officeDocument/2006/relationships/image" Target="media/image13.jpg"/><Relationship Id="rId152" Type="http://schemas.openxmlformats.org/officeDocument/2006/relationships/header" Target="header30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22" Type="http://schemas.openxmlformats.org/officeDocument/2006/relationships/image" Target="media/image4.jpg"/><Relationship Id="rId100" Type="http://schemas.openxmlformats.org/officeDocument/2006/relationships/header" Target="header11.xml"/><Relationship Id="rId105" Type="http://schemas.openxmlformats.org/officeDocument/2006/relationships/header" Target="header13.xml"/><Relationship Id="rId113" Type="http://schemas.openxmlformats.org/officeDocument/2006/relationships/hyperlink" Target="http://ec.europa.eu/research/era/understanding/what/what_is_era_en.htm" TargetMode="External"/><Relationship Id="rId118" Type="http://schemas.openxmlformats.org/officeDocument/2006/relationships/footer" Target="footer17.xml"/><Relationship Id="rId126" Type="http://schemas.openxmlformats.org/officeDocument/2006/relationships/image" Target="media/image22.jpg"/><Relationship Id="rId134" Type="http://schemas.openxmlformats.org/officeDocument/2006/relationships/footer" Target="footer21.xml"/><Relationship Id="rId139" Type="http://schemas.openxmlformats.org/officeDocument/2006/relationships/header" Target="header24.xml"/><Relationship Id="rId147" Type="http://schemas.openxmlformats.org/officeDocument/2006/relationships/footer" Target="footer27.xml"/><Relationship Id="rId8" Type="http://schemas.openxmlformats.org/officeDocument/2006/relationships/image" Target="media/image2.jpg"/><Relationship Id="rId80" Type="http://schemas.openxmlformats.org/officeDocument/2006/relationships/image" Target="media/image6.jpg"/><Relationship Id="rId85" Type="http://schemas.openxmlformats.org/officeDocument/2006/relationships/image" Target="media/image11.png"/><Relationship Id="rId93" Type="http://schemas.openxmlformats.org/officeDocument/2006/relationships/header" Target="header9.xml"/><Relationship Id="rId98" Type="http://schemas.openxmlformats.org/officeDocument/2006/relationships/image" Target="media/image16.jpg"/><Relationship Id="rId121" Type="http://schemas.openxmlformats.org/officeDocument/2006/relationships/image" Target="media/image17.jpg"/><Relationship Id="rId142" Type="http://schemas.openxmlformats.org/officeDocument/2006/relationships/header" Target="header25.xml"/><Relationship Id="rId150" Type="http://schemas.openxmlformats.org/officeDocument/2006/relationships/footer" Target="footer28.xml"/><Relationship Id="rId15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103" Type="http://schemas.openxmlformats.org/officeDocument/2006/relationships/header" Target="header12.xml"/><Relationship Id="rId108" Type="http://schemas.openxmlformats.org/officeDocument/2006/relationships/footer" Target="footer14.xml"/><Relationship Id="rId116" Type="http://schemas.openxmlformats.org/officeDocument/2006/relationships/header" Target="header17.xml"/><Relationship Id="rId124" Type="http://schemas.openxmlformats.org/officeDocument/2006/relationships/image" Target="media/image20.jpg"/><Relationship Id="rId129" Type="http://schemas.openxmlformats.org/officeDocument/2006/relationships/header" Target="header19.xml"/><Relationship Id="rId137" Type="http://schemas.openxmlformats.org/officeDocument/2006/relationships/footer" Target="footer22.xml"/><Relationship Id="rId20" Type="http://schemas.openxmlformats.org/officeDocument/2006/relationships/footer" Target="footer6.xml"/><Relationship Id="rId83" Type="http://schemas.openxmlformats.org/officeDocument/2006/relationships/image" Target="media/image9.jpg"/><Relationship Id="rId88" Type="http://schemas.openxmlformats.org/officeDocument/2006/relationships/image" Target="media/image110.png"/><Relationship Id="rId91" Type="http://schemas.openxmlformats.org/officeDocument/2006/relationships/footer" Target="footer7.xml"/><Relationship Id="rId96" Type="http://schemas.openxmlformats.org/officeDocument/2006/relationships/image" Target="media/image14.jpg"/><Relationship Id="rId111" Type="http://schemas.openxmlformats.org/officeDocument/2006/relationships/hyperlink" Target="http://www.ehea.info/" TargetMode="External"/><Relationship Id="rId132" Type="http://schemas.openxmlformats.org/officeDocument/2006/relationships/footer" Target="footer20.xml"/><Relationship Id="rId140" Type="http://schemas.openxmlformats.org/officeDocument/2006/relationships/footer" Target="footer24.xml"/><Relationship Id="rId145" Type="http://schemas.openxmlformats.org/officeDocument/2006/relationships/footer" Target="footer26.xml"/><Relationship Id="rId153" Type="http://schemas.openxmlformats.org/officeDocument/2006/relationships/footer" Target="footer3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5.jpg"/><Relationship Id="rId106" Type="http://schemas.openxmlformats.org/officeDocument/2006/relationships/header" Target="header14.xml"/><Relationship Id="rId114" Type="http://schemas.openxmlformats.org/officeDocument/2006/relationships/hyperlink" Target="http://ec.europa.eu/research/era/understanding/what/what_is_era_en.htm" TargetMode="External"/><Relationship Id="rId119" Type="http://schemas.openxmlformats.org/officeDocument/2006/relationships/header" Target="header18.xml"/><Relationship Id="rId127" Type="http://schemas.openxmlformats.org/officeDocument/2006/relationships/image" Target="media/image23.jpg"/><Relationship Id="rId10" Type="http://schemas.openxmlformats.org/officeDocument/2006/relationships/header" Target="header2.xml"/><Relationship Id="rId78" Type="http://schemas.openxmlformats.org/officeDocument/2006/relationships/image" Target="media/image30.jpg"/><Relationship Id="rId81" Type="http://schemas.openxmlformats.org/officeDocument/2006/relationships/image" Target="media/image7.jpg"/><Relationship Id="rId86" Type="http://schemas.openxmlformats.org/officeDocument/2006/relationships/image" Target="media/image12.png"/><Relationship Id="rId94" Type="http://schemas.openxmlformats.org/officeDocument/2006/relationships/footer" Target="footer9.xml"/><Relationship Id="rId99" Type="http://schemas.openxmlformats.org/officeDocument/2006/relationships/header" Target="header10.xml"/><Relationship Id="rId101" Type="http://schemas.openxmlformats.org/officeDocument/2006/relationships/footer" Target="footer10.xml"/><Relationship Id="rId122" Type="http://schemas.openxmlformats.org/officeDocument/2006/relationships/image" Target="media/image18.jpg"/><Relationship Id="rId130" Type="http://schemas.openxmlformats.org/officeDocument/2006/relationships/header" Target="header20.xml"/><Relationship Id="rId135" Type="http://schemas.openxmlformats.org/officeDocument/2006/relationships/header" Target="header22.xml"/><Relationship Id="rId143" Type="http://schemas.openxmlformats.org/officeDocument/2006/relationships/header" Target="header26.xml"/><Relationship Id="rId148" Type="http://schemas.openxmlformats.org/officeDocument/2006/relationships/header" Target="header28.xml"/><Relationship Id="rId151" Type="http://schemas.openxmlformats.org/officeDocument/2006/relationships/footer" Target="footer29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109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15865</Words>
  <Characters>90437</Characters>
  <Application>Microsoft Office Word</Application>
  <DocSecurity>0</DocSecurity>
  <Lines>753</Lines>
  <Paragraphs>212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Dorčáková</dc:creator>
  <cp:keywords/>
  <cp:lastModifiedBy>Jana Dorčáková</cp:lastModifiedBy>
  <cp:revision>2</cp:revision>
  <dcterms:created xsi:type="dcterms:W3CDTF">2020-03-13T18:35:00Z</dcterms:created>
  <dcterms:modified xsi:type="dcterms:W3CDTF">2020-03-13T18:35:00Z</dcterms:modified>
</cp:coreProperties>
</file>